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PartName="/word/header_watermark.xml" ContentType="application/vnd.openxmlformats-officedocument.wordprocessingml.head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before="80" w:line="360" w:lineRule="atLeast"/>
        <w:jc w:val="center"/>
      </w:pPr>
      <w:r>
        <w:rPr>
          <w:rFonts w:ascii="Arial" w:eastAsia="Microsoft YaHei" w:hAnsi="Arial"/>
          <w:b/>
          <w:bCs/>
          <w:sz w:val="28"/>
          <w:szCs w:val="28"/>
        </w:rPr>
        <w:t xml:space="preserve">【日报】颜浩轩｜2026年7月16日｜专家访谈质性分析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负责模块：AI + 心理无感知测评项目中，专家访谈质性分析与智能体需求提炼。</w:t>
      </w:r>
    </w:p>
    <w:p>
      <w:pPr>
        <w:spacing w:after="80" w:line="360" w:lineRule="atLeast"/>
        <w:jc w:val="lef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今日在昨天 P1、P2 样例编码的基础上，继续完成剩余访谈材料的阅读、编码和全量整理工作。</w:t>
      </w:r>
    </w:p>
    <w:p>
      <w:pPr>
        <w:spacing w:after="80" w:before="180" w:line="320" w:lineRule="atLeast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今天完成了什么？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阅读并分析 P3-P6（心理咨询师/老师访谈）和 S1-S5（学生访谈）共 9 份剩余访谈材料，逐份提取关键语句并进行开放编码。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将 P1-P6、S1-S5 共 11 份访谈的编码结果汇总为全量编码表，按统一口径归入评估信息要素、判断逻辑、处置决策、系统边界、危机干预、对话体验和人机协作等类别。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对不同受访者观点进行横向比较，识别专家之间较一致的观点和存在分歧的内容，例如咨询师更关注专业评估流程和诊断边界，学生更关注交互体验和隐私顾虑。</w:t>
      </w:r>
    </w:p>
    <w:p>
      <w:pPr>
        <w:pStyle w:val="ListParagraph"/>
        <w:numPr>
          <w:ilvl w:val="0"/>
          <w:numId w:val="2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初步归纳访谈核心主题，整理了主题分布和编码数量统计，为明天撰写访谈需求提炼报告准备分析基础。</w:t>
      </w:r>
    </w:p>
    <w:p>
      <w:pPr>
        <w:spacing w:after="80" w:before="180" w:line="320" w:lineRule="atLeast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今天产出了什么材料？</w:t>
      </w:r>
    </w:p>
    <w:p>
      <w:pPr>
        <w:pStyle w:val="ListParagraph"/>
        <w:numPr>
          <w:ilvl w:val="0"/>
          <w:numId w:val="3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P3-P6、S1-S5 共 9 份访谈的编码表（CSV 格式）。</w:t>
      </w:r>
    </w:p>
    <w:p>
      <w:pPr>
        <w:pStyle w:val="ListParagraph"/>
        <w:numPr>
          <w:ilvl w:val="0"/>
          <w:numId w:val="3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全量合并编码表，涵盖 11 份访谈的 183 条编码记录。</w:t>
      </w:r>
    </w:p>
    <w:p>
      <w:pPr>
        <w:pStyle w:val="ListParagraph"/>
        <w:numPr>
          <w:ilvl w:val="0"/>
          <w:numId w:val="3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全量访谈主题总结文档初稿，包含主题分布统计和初步分析结论。</w:t>
      </w:r>
    </w:p>
    <w:p>
      <w:pPr>
        <w:spacing w:after="80" w:before="180" w:line="320" w:lineRule="atLeast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今天新增了什么可观察数据或证据？</w:t>
      </w:r>
    </w:p>
    <w:p>
      <w:pPr>
        <w:pStyle w:val="ListParagraph"/>
        <w:numPr>
          <w:ilvl w:val="0"/>
          <w:numId w:val="4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编码数量方面：P3 编码 22 条，P4 编码 22 条，P5 编码 21 条，P6 编码 15 条，S1 编码 10 条，S2 编码 12 条，S3 编码 16 条，S4 编码 12 条，S5 编码 16 条，连同昨天的 P1（17 条）和 P2（20 条），全量共 183 条编码。</w:t>
      </w:r>
    </w:p>
    <w:p>
      <w:pPr>
        <w:pStyle w:val="ListParagraph"/>
        <w:numPr>
          <w:ilvl w:val="0"/>
          <w:numId w:val="4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主题分布方面：自然语言交互的接受度与披露质量（47 条）、评估信息要素与结构化采集（43 条）、危机评估与分级处置（22 条）、评估流程与决策节点（22 条）、诊断标准与量表依据（21 条）为主要主题。</w:t>
      </w:r>
    </w:p>
    <w:p>
      <w:pPr>
        <w:pStyle w:val="ListParagraph"/>
        <w:numPr>
          <w:ilvl w:val="0"/>
          <w:numId w:val="4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专家共识方面：多数受访者认为系统应定位为心理状态评估与支持工具，不宜称为"AI 心理咨询师"；对话应先倾听主诉、承接情绪，再逐步进入结构化评估；危机识别应作为优先流程，出现高风险线索时立即触发安全响应。</w:t>
      </w:r>
    </w:p>
    <w:p>
      <w:pPr>
        <w:pStyle w:val="ListParagraph"/>
        <w:numPr>
          <w:ilvl w:val="0"/>
          <w:numId w:val="4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差异观点方面：咨询师访谈更关注专业评估流程和诊断边界，学生访谈更侧重交互体验和隐私顾虑；部分受访者对线上评估的信息完整性持不同态度。</w:t>
      </w:r>
    </w:p>
    <w:p>
      <w:pPr>
        <w:spacing w:after="80" w:before="180" w:line="320" w:lineRule="atLeast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当前卡点是什么？</w:t>
      </w:r>
    </w:p>
    <w:p>
      <w:pPr>
        <w:pStyle w:val="ListParagraph"/>
        <w:numPr>
          <w:ilvl w:val="0"/>
          <w:numId w:val="5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不同访谈对象表达方式存在差异，咨询师使用专业术语较多，学生表达较为口语化，编码口径需要统一。</w:t>
      </w:r>
    </w:p>
    <w:p>
      <w:pPr>
        <w:pStyle w:val="ListParagraph"/>
        <w:numPr>
          <w:ilvl w:val="0"/>
          <w:numId w:val="5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部分主题存在交叉，例如"评估信息要素"与"评估流程"在某些编码中边界不够清晰，需要回看原始语境进行区分。</w:t>
      </w:r>
    </w:p>
    <w:p>
      <w:pPr>
        <w:pStyle w:val="ListParagraph"/>
        <w:numPr>
          <w:ilvl w:val="0"/>
          <w:numId w:val="5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编码类别目前为 9 个，部分类别下编码数量较少（如人机协作与审计仅 1 条），后续可能需要合并或调整。</w:t>
      </w:r>
    </w:p>
    <w:p>
      <w:pPr>
        <w:pStyle w:val="ListParagraph"/>
        <w:numPr>
          <w:ilvl w:val="0"/>
          <w:numId w:val="5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全量编码表数据量较大，横向比较和主题归纳需要更多时间，目前仅完成初步框架，细节还需要进一步完善。</w:t>
      </w:r>
    </w:p>
    <w:p>
      <w:pPr>
        <w:spacing w:after="80" w:before="180" w:line="320" w:lineRule="atLeast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明天计划做什么？</w:t>
      </w:r>
    </w:p>
    <w:p>
      <w:pPr>
        <w:pStyle w:val="ListParagraph"/>
        <w:numPr>
          <w:ilvl w:val="0"/>
          <w:numId w:val="6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基于全量编码表和主题总结撰写访谈需求提炼报告。</w:t>
      </w:r>
    </w:p>
    <w:p>
      <w:pPr>
        <w:pStyle w:val="ListParagraph"/>
        <w:numPr>
          <w:ilvl w:val="0"/>
          <w:numId w:val="6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说明访谈资料来源和分析方法，总结专家共识、差异观点及其证据。</w:t>
      </w:r>
    </w:p>
    <w:p>
      <w:pPr>
        <w:pStyle w:val="ListParagraph"/>
        <w:numPr>
          <w:ilvl w:val="0"/>
          <w:numId w:val="6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将访谈结论转化为智能体功能需求和安全约束，补充 Miro 中 RQ1、RQ2 对系统设计的启示。</w:t>
      </w:r>
    </w:p>
    <w:p>
      <w:pPr>
        <w:pStyle w:val="ListParagraph"/>
        <w:numPr>
          <w:ilvl w:val="0"/>
          <w:numId w:val="6"/>
        </w:numPr>
        <w:spacing w:after="60" w:line="360" w:lineRule="atLeast"/>
      </w:pPr>
      <w:r>
        <w:rPr>
          <w:rFonts w:ascii="Arial" w:eastAsia="Microsoft YaHei" w:hAnsi="Arial"/>
          <w:b w:val="false"/>
          <w:bCs w:val="false"/>
          <w:sz w:val="21"/>
          <w:szCs w:val="21"/>
        </w:rPr>
        <w:t xml:space="preserve">检查报告结构、表格、措辞和引用依据，完成正式版本。</w:t>
      </w:r>
    </w:p>
    <w:sectPr>
      <w:headerReference w:type="default" r:id="rId9"/>
      <w:footerReference w:type="default" r:id="rId7"/>
      <w:pgSz w:w="11906" w:h="16838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b w:val="false"/>
        <w:bCs w:val="false"/>
        <w:sz w:val="18"/>
        <w:szCs w:val="18"/>
      </w:rPr>
      <w:t xml:space="preserve">第 </w:t>
    </w:r>
    <w:r>
      <w:rPr>
        <w:rFonts w:ascii="Arial" w:eastAsia="Microsoft YaHei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b w:val="false"/>
        <w:bCs w:val="false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_watermark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wps="http://schemas.microsoft.com/office/word/2010/wordprocessingShape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>
              <wp:simplePos x="0" y="0"/>
              <wp:positionH relativeFrom="page">
                <wp:align>right</wp:align>
              </wp:positionH>
              <wp:positionV relativeFrom="page">
                <wp:align>bottom</wp:align>
              </wp:positionV>
              <wp:extent cx="2200000" cy="350000"/>
              <wp:effectExtent l="0" t="0" r="0" b="0"/>
              <wp:wrapNone/>
              <wp:docPr id="1" name="Watermark"/>
              <a:graphic>
                <a:graphicData uri="http://schemas.microsoft.com/office/word/2010/wordprocessingShape">
                  <wps:wsp>
                    <wps:cNvSpPr txBox="1"/>
                    <wps:spPr>
                      <a:xfrm rot="0">
                        <a:off x="0" y="0"/>
                        <a:ext cx="2200000" cy="35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jc w:val="right"/>
                          </w:pPr>
                          <w:r>
                            <w:rPr>
                              <w:sz w:val="32"/>
                              <w:szCs w:val="32"/>
                              <w:rFonts w:eastAsia="SimSun" w:ascii="Arial" w:hAnsi="Arial"/>
                              <w:color w:val="808080"/>
                              <w14:textFill>
                                <w14:solidFill>
                                  <w14:srgbClr w14:val="808080">
                                    <w14:alpha w14:val="19999"/>
                                  </w14:srgbClr>
                                </w14:solidFill>
                              </w14:textFill>
                            </w:rPr>
                            <w:t>AI 生成</w:t>
                          </w:r>
                        </w:p>
                      </w:txbxContent>
                    </wps:txbx>
                    <wps:bodyPr wrap="square" anchor="b" anchorCtr="0" lIns="0" tIns="0" rIns="91440" bIns="45720"/>
                  </wps:wsp>
                </a:graphicData>
              </a:graphic>
            </wp:anchor>
          </w:drawing>
        </mc:Choice>
        <mc:Fallback/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line="360" w:lineRule="atLeast"/>
    </w:pPr>
  </w:style>
  <w:style w:type="paragraph" w:styleId="Title">
    <w:name w:val="Title"/>
    <w:basedOn w:val="Normal"/>
    <w:next w:val="Normal"/>
    <w:qFormat/>
    <w:pPr>
      <w:keepNext w:val="false"/>
      <w:keepLines w:val="false"/>
      <w:spacing w:after="160" w:before="80" w:line="360" w:lineRule="atLeast"/>
      <w:jc w:val="center"/>
    </w:pPr>
    <w:rPr>
      <w:rFonts w:ascii="Arial" w:eastAsia="Microsoft YaHei" w:hAnsi="Arial"/>
      <w:b/>
      <w:bCs/>
      <w:sz w:val="28"/>
      <w:szCs w:val="28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80" w:before="180" w:line="312" w:lineRule="auto"/>
      <w:outlineLvl w:val="0"/>
    </w:pPr>
    <w:rPr>
      <w:rFonts w:ascii="Arial" w:eastAsia="Microsoft YaHei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header" Target="header_watermark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科研实训日报_颜浩轩_2026-07-16</dc:title>
  <dc:creator>TRAE</dc:creator>
  <cp:lastModifiedBy>Un-named</cp:lastModifiedBy>
  <cp:revision>1</cp:revision>
  <dcterms:created xsi:type="dcterms:W3CDTF">2026-07-16T14:13:33.223Z</dcterms:created>
  <dcterms:modified xsi:type="dcterms:W3CDTF">2026-07-16T14:13:33.224Z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