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D3BD" w14:textId="77777777" w:rsidR="004E3A6E" w:rsidRDefault="00000000">
      <w:r>
        <w:rPr>
          <w:b/>
          <w:sz w:val="32"/>
        </w:rPr>
        <w:t>Emeritus Unbound</w:t>
      </w:r>
    </w:p>
    <w:p w14:paraId="4251CF3A" w14:textId="77777777" w:rsidR="004E3A6E" w:rsidRDefault="00000000">
      <w:r>
        <w:rPr>
          <w:i/>
        </w:rPr>
        <w:t>L. Trilling</w:t>
      </w:r>
      <w:r>
        <w:t xml:space="preserve">, D. Chavalarias, J. Ovadi, G. </w:t>
      </w:r>
      <w:r>
        <w:rPr>
          <w:i/>
        </w:rPr>
        <w:t>et al.</w:t>
      </w:r>
      <w:r>
        <w:t>, and V. Norris7</w:t>
      </w:r>
    </w:p>
    <w:p w14:paraId="5787CE8B" w14:textId="77777777" w:rsidR="004E3A6E" w:rsidRDefault="004E3A6E"/>
    <w:p w14:paraId="100B889C" w14:textId="77777777" w:rsidR="004E3A6E" w:rsidRDefault="00000000">
      <w:r>
        <w:t>1 Laboratoire TIMC (Recherche Translationnelle et Innovation en Médecine et Complexité), Université Grenoble Alpes, Bâtiment CReSI, 6 chemin Saint Ferjus, 38700 La Tronche, France</w:t>
      </w:r>
    </w:p>
    <w:p w14:paraId="2584818B" w14:textId="77777777" w:rsidR="004E3A6E" w:rsidRDefault="00000000">
      <w:r>
        <w:t>2 Institut des Systèmes Complexes Paris Île-de-France, 113 rue Nationale, 75013 Paris, France</w:t>
      </w:r>
    </w:p>
    <w:p w14:paraId="676A862A" w14:textId="77777777" w:rsidR="004E3A6E" w:rsidRDefault="00000000">
      <w:r>
        <w:t>3 Institute of Molecular Life Sciences, HUN-REN Research Center for Natural Sciences, H-1117 Budapest, Magyar Tudósok krt. 2, Hungary</w:t>
      </w:r>
    </w:p>
    <w:p w14:paraId="7CA9DCD6" w14:textId="77777777" w:rsidR="004E3A6E" w:rsidRDefault="00000000">
      <w:r>
        <w:t>4 ETH Zürich, Laboratorium für Organische Chemie, Vladimir-Prelog-Weg 3, 8093 Zürich, Switzerland</w:t>
      </w:r>
    </w:p>
    <w:p w14:paraId="1B89E6F2" w14:textId="77777777" w:rsidR="004E3A6E" w:rsidRDefault="00000000">
      <w:r>
        <w:t>5 Department of Microbiology, University of Oslo and Oslo University Hospital, Rikshospitalet, 0373 Oslo, Norway</w:t>
      </w:r>
    </w:p>
    <w:p w14:paraId="146D864B" w14:textId="77777777" w:rsidR="004E3A6E" w:rsidRDefault="00000000">
      <w:r>
        <w:t>6 Department of Physics and Astronomy, The Open University, Walton Hall, Milton Keynes, MK7 6AA, UK</w:t>
      </w:r>
    </w:p>
    <w:p w14:paraId="48C59D73" w14:textId="77777777" w:rsidR="004E3A6E" w:rsidRDefault="00000000">
      <w:r>
        <w:t xml:space="preserve">7 Laboratoire de Microbiologie CBSA (Communication Bactérienne et Stratégies Anti-infectieuses) - UR4312 Université de Rouen, 55, rue Saint-Germain 27000 </w:t>
      </w:r>
      <w:proofErr w:type="spellStart"/>
      <w:r>
        <w:t>Évreux</w:t>
      </w:r>
      <w:proofErr w:type="spellEnd"/>
      <w:r>
        <w:t>, France</w:t>
      </w:r>
    </w:p>
    <w:p w14:paraId="60361313" w14:textId="77777777" w:rsidR="004E3A6E" w:rsidRDefault="004E3A6E"/>
    <w:p w14:paraId="6C7389C4" w14:textId="5723E448" w:rsidR="004E3A6E" w:rsidRDefault="00000000">
      <w:r>
        <w:t>Emeritus professors have long played a major role in society {Hirst, 2022 #</w:t>
      </w:r>
      <w:proofErr w:type="gramStart"/>
      <w:r>
        <w:t>11372}{</w:t>
      </w:r>
      <w:proofErr w:type="gramEnd"/>
      <w:r>
        <w:t>Porter, 2024 #11370}. In the case of science, their activities include pursuing their own research, evaluating submissions on behalf of journals and funding bodies, mentoring junior scientists, assisting senior colleagues, organising international conferences and advising governments. These activities are based on decades of hard-won experience and, remarkably, are carried out at little or no cost to society.</w:t>
      </w:r>
    </w:p>
    <w:p w14:paraId="68D350DD" w14:textId="16F981E3" w:rsidR="004E3A6E" w:rsidRDefault="00000000">
      <w:r>
        <w:t>Despite these contributions, emeritus status is often granted only for a limited period. Once this period expires, retired scientists may lose access to institutional workspaces and even the email accounts and professional addresses through which other scientists contact them. Deprived of funding, the attendance of emeritus professors at conferences is then limited, as is their ability to pay for publication in Open Access journals. While access to libraries and the scientific literature is increasingly less of a problem with the rise of Open Access journals and preprint servers, the loss of institutional affiliation and professional networks remains a significant barrier. These restrictions can have a significant negative impact both on the scientists themselves {Cahill, 2018 #11371} and on science more broadly.</w:t>
      </w:r>
    </w:p>
    <w:p w14:paraId="4F96CDE3" w14:textId="7CF8B23C" w:rsidR="004E3A6E" w:rsidRDefault="00000000">
      <w:r>
        <w:lastRenderedPageBreak/>
        <w:t>The difficulties faced by retired scientists are compounded by the wide variation in the treatment of emeritus professors between countries (and even between institutions within the same country). In the UNITED STATES, formal emeritus programs allow retired scientists to continue research activities, including applying for funding, and age is not a barrier with NIH and NSF defining Principal Investigators by their role rather than their age {oir.nih.gov}. The United States Geological Survey operates an Emeritus Program that allows retired scientists to remain scientifically active {USGS}. American universities often actively recruit retired scientists from abroad, and foreign emeriti may become visiting scholars or adjunct faculty through visa pathways such as the O-1 'extraordinary ability' category, regardless of age {ors.od.nih.gov}.</w:t>
      </w:r>
    </w:p>
    <w:p w14:paraId="38F518ED" w14:textId="6BDAA0A7" w:rsidR="004E3A6E" w:rsidRDefault="00000000">
      <w:r>
        <w:t>In the UNITED KINGDOM, the mandatory retirement age for academics was abolished in 2011, but institutional policies vary widely. The University of Oxford, for example, offers emeritus status that can include office space and library access, while newer universities often provide only ceremonial titles with no practical support.</w:t>
      </w:r>
    </w:p>
    <w:p w14:paraId="3CD248B2" w14:textId="3D52266C" w:rsidR="004E3A6E" w:rsidRDefault="00000000">
      <w:r>
        <w:t>GERMANY maintains a structured approach with professor emeritus designation typically granted after retirement, often including the right to supervise doctoral students and continued use of university facilities. However, support varies by federal state, with some Länder providing additional funding for emeritus research while others offer minimal support.</w:t>
      </w:r>
    </w:p>
    <w:p w14:paraId="0EC1FB1E" w14:textId="1398CB8A" w:rsidR="004E3A6E" w:rsidRDefault="00000000">
      <w:r>
        <w:t>NETHERLANDS and BELGIUM have generally progressive policies, with universities such as Leiden and KU Leuven maintaining active emeritus programs that include continued research engagement and institutional support.</w:t>
      </w:r>
    </w:p>
    <w:p w14:paraId="0E46DE5A" w14:textId="67C5197D" w:rsidR="004E3A6E" w:rsidRDefault="00000000">
      <w:r>
        <w:t>The SCANDINAVIAN countries (SWEDEN, NORWAY, DENMARK, FINLAND) typically have flexible retirement policies, with statutory retirement ages around 65-67 but with provisions for extending research activity. Sweden, for example, has no formal retirement age for professors, and emeritus status often includes continued access to research facilities. Norway's system allows emeritus professors to maintain active research profiles, though institutional support varies by university.</w:t>
      </w:r>
    </w:p>
    <w:p w14:paraId="03D61E68" w14:textId="0F6FBEA2" w:rsidR="004E3A6E" w:rsidRDefault="00000000">
      <w:r>
        <w:t>SWITZERLAND, through institutions such as ETH Zürich and EPFL, maintains formal emeritus designations that allow continued research activity, laboratory access, and in some cases continued supervision of research groups.</w:t>
      </w:r>
    </w:p>
    <w:p w14:paraId="1EDBBB25" w14:textId="4CF107BF" w:rsidR="004E3A6E" w:rsidRDefault="00000000">
      <w:r>
        <w:t>JAPAN, facing demographic challenges, has begun initiatives to retain senior researchers beyond traditional retirement age, though cultural barriers and rigid seniority systems persist. The Japan Society for the Promotion of Science has created programs to employ emeritus professors, but uptake remains limited.</w:t>
      </w:r>
    </w:p>
    <w:p w14:paraId="209BEAE5" w14:textId="55C2FB62" w:rsidR="004E3A6E" w:rsidRDefault="00000000">
      <w:r>
        <w:t>AUSTRALIA and CANADA generally follow the British model, with variable support for emeritus professors depending on institutional resources and policies. Some Australian universities have abolished mandatory retirement ages, while others maintain them with provisions for extension.</w:t>
      </w:r>
    </w:p>
    <w:p w14:paraId="4660AD5B" w14:textId="3432C601" w:rsidR="004E3A6E" w:rsidRDefault="00000000">
      <w:r>
        <w:lastRenderedPageBreak/>
        <w:t>SOUTH KOREA and CHINA maintain mandatory retirement ages (typically 65 for professors) but have begun creating 'emeritus researcher' positions to retain distinguished scholars. However, these positions are often limited to the most prominent professors and come with reduced support.</w:t>
      </w:r>
    </w:p>
    <w:p w14:paraId="17612406" w14:textId="1AE2E151" w:rsidR="004E3A6E" w:rsidRDefault="00000000">
      <w:r>
        <w:t xml:space="preserve">ITALY and SPAIN generally have </w:t>
      </w:r>
      <w:proofErr w:type="gramStart"/>
      <w:r>
        <w:t>less</w:t>
      </w:r>
      <w:proofErr w:type="gramEnd"/>
      <w:r>
        <w:t xml:space="preserve"> flexible systems, with emeritus status often being purely honorary and accompanied by minimal institutional support. Recent reforms in both countries have attempted to address this, but implementation remains uneven.</w:t>
      </w:r>
    </w:p>
    <w:p w14:paraId="61AEA2D3" w14:textId="0CEAA8CF" w:rsidR="004E3A6E" w:rsidRDefault="00000000">
      <w:r>
        <w:t>These international variations highlight that policy choices, not inevitable constraints, determine whether emeritus professors can continue contributing. The range of approaches—from the American model of continued funding eligibility to the more restrictive European practices—demonstrates that there is no single 'correct' approach, but rather a spectrum of possible policies that balance different priorities.</w:t>
      </w:r>
    </w:p>
    <w:p w14:paraId="131BEE72" w14:textId="215AD283" w:rsidR="004E3A6E" w:rsidRDefault="00000000">
      <w:r>
        <w:t>In France, current regulations allow each university to determine its own policies regarding emeritus status, with some institutions adopting flexible approaches while others impose rigid and restrictive rules. Such inconsistencies inevitably create the impression that these policies may be shaped not only by practical considerations, but also by arbitrary criteria or less transparent motives.</w:t>
      </w:r>
    </w:p>
    <w:p w14:paraId="155C9F96" w14:textId="344A9FBE" w:rsidR="004E3A6E" w:rsidRDefault="00000000">
      <w:r>
        <w:t>One factor underlying the wasteful treatment of emeritus professors is ageism. Modern society, often encouraged by media narratives, tends to undervalue older people, with the debatable exception of politicians. This attitude stands in direct contradiction to the public discourse promoting the employment and participation of older citizens, yet it aligns closely with market-driven values in which the elderly are seen as having passed their 'sell-by date' and therefore becoming expendable.</w:t>
      </w:r>
    </w:p>
    <w:p w14:paraId="77AC2CCC" w14:textId="2DDEFFAF" w:rsidR="004E3A6E" w:rsidRDefault="00000000">
      <w:r>
        <w:t>The assumption that older scientists are less productive deserves scrutiny. While comprehensive statistical data on emeritus professor publication rates are limited, several studies suggest that scientific productivity does not simply end at retirement age. Analysis of patent data shows that inventors remain productive well into their 60s and 70s, with the average age of Nobel laureates at the time of their prize-winning work being approximately 40-45, and many continuing significant contributions for decades afterward. In the United States, NSF data indicates that a substantial fraction of doctorate-holding scientists continue working well beyond traditional retirement ages, with many remaining employed into their 70s.</w:t>
      </w:r>
    </w:p>
    <w:p w14:paraId="57632EE5" w14:textId="769AA7A9" w:rsidR="004E3A6E" w:rsidRDefault="00000000">
      <w:r>
        <w:t>However, meaningful metrics of emeritus productivity remain elusive. Publication rates, citation counts, and grant success rates could provide quantitative evidence, but these data are rarely collected systematically. This lack of data itself reflects a broader issue: the scientific community has not invested in understanding the contributions of its senior members. Without robust statistics, debates about emeritus productivity rely on anecdotal evidence and individual cases, which can be selectively cited to support either position in the ageism debate.</w:t>
      </w:r>
    </w:p>
    <w:p w14:paraId="268F7D3D" w14:textId="261EEEA4" w:rsidR="004E3A6E" w:rsidRDefault="00000000">
      <w:r>
        <w:lastRenderedPageBreak/>
        <w:t>A more nuanced consideration would recognize that productivity varies widely among individuals at all ages. Some emeritus professors maintain active research programs, while others choose to focus on different forms of contribution such as mentoring, reviewing, and institutional service. The issue is not whether emeriti are productive on average, but whether the scientific community creates structures that allow individual emeriti to continue contributing according to their abilities and interests, rather than imposing categorical restrictions based on chronological age.</w:t>
      </w:r>
    </w:p>
    <w:p w14:paraId="2D8DE9BC" w14:textId="15096FDE" w:rsidR="004E3A6E" w:rsidRDefault="00000000">
      <w:r>
        <w:t>It might be argued that keeping senior scientists employed and funded beyond the retirement age would take away resources and opportunities from younger researchers. This concern deserves serious consideration: younger scientists in many countries face hyper-competitive job markets, short-term contracts, and limited permanent positions. In the life sciences particularly, early-career researchers often work under precarious conditions with uncertain career prospects.</w:t>
      </w:r>
    </w:p>
    <w:p w14:paraId="6F5F9A1E" w14:textId="261564C0" w:rsidR="004E3A6E" w:rsidRDefault="00000000">
      <w:r>
        <w:t>The question of whether dedicated grants for emeritus professors would take resources from younger scientists is complex and requires careful analysis of how research funding is allocated. In most systems, research grants are awarded through competitive processes that evaluate scientific merit and feasibility. If emeritus professors compete for the same grants as younger researchers, based on the same criteria, this raises questions about whether age-related factors (such as career stage, institutional support, or future productivity potential) should influence funding decisions.</w:t>
      </w:r>
    </w:p>
    <w:p w14:paraId="757AEA74" w14:textId="1DC6F012" w:rsidR="004E3A6E" w:rsidRDefault="00000000">
      <w:r>
        <w:t>One perspective holds that creating dedicated emeritus grants would inevitably redirect funding away from early-career researchers, who already face significant challenges in establishing independent research programs. From this viewpoint, even a small emeritus grant program could be seen as exacerbating generational inequities, particularly when total research funding is limited and must be distributed among many competing priorities.</w:t>
      </w:r>
    </w:p>
    <w:p w14:paraId="05A6672D" w14:textId="73F49F9A" w:rsidR="004E3A6E" w:rsidRDefault="00000000">
      <w:r>
        <w:t>An alternative perspective suggests that emeritus professors and early-career researchers are not necessarily in direct competition. Emeriti might bring established collaborations, decades of expertise, and international networks that complement rather than replace the contributions of younger scientists. Some emeritus grants could specifically fund activities that benefit the broader research community—such as mentoring programs, collaborative projects that combine emeritus expertise with early-career innovation, or synthesis of accumulated knowledge in specific fields.</w:t>
      </w:r>
    </w:p>
    <w:p w14:paraId="7774F3A8" w14:textId="0A9BD893" w:rsidR="004E3A6E" w:rsidRDefault="00000000">
      <w:r>
        <w:t>Moreover, the framing of this issue as a zero-sum competition between generations may itself be problematic. The scientific enterprise is not a fixed pie that must be divided among competing groups, but rather an ecosystem where different participants can play complementary roles. Rather than asking whether emeritus grants take resources from younger scientists, we might ask whether the scientific community benefits from maintaining diverse pathways for participation that accommodate different career stages and life circumstances.</w:t>
      </w:r>
    </w:p>
    <w:p w14:paraId="10A8614F" w14:textId="17D03C06" w:rsidR="004E3A6E" w:rsidRDefault="00000000">
      <w:r>
        <w:lastRenderedPageBreak/>
        <w:t>The suggestion that emeriti should be remunerated for evaluations, reviewing, site visits, and conference organisation raises important questions about whether this proposal itself reflects ageist assumptions. If we argue that emeritus professors are capable of continued scientific contribution, why should we recommend that they be compensated primarily for service activities rather than research? This recommendation could be interpreted as implicitly accepting the premise that emeriti are no longer suited for 'real' scientific work and should instead be redirected to supportive roles.</w:t>
      </w:r>
    </w:p>
    <w:p w14:paraId="5D10DB13" w14:textId="2A9B63A2" w:rsidR="004E3A6E" w:rsidRDefault="00000000">
      <w:r>
        <w:t>There is also a legitimate question about whether recommending remuneration for emeritus participation in these activities undermines the established norm that such service is part of the professional contribution that all scientists make to the scientific community. If we suggest that emeriti should be paid for reviewing or conference organization, are we implicitly suggesting that early-career researchers should not be similarly compensated? Or are we acknowledging that the current system relies on uncompensated labor from all scientists, and that emeritus status exposes this inequity?</w:t>
      </w:r>
    </w:p>
    <w:p w14:paraId="2FD1A990" w14:textId="05222DE6" w:rsidR="004E3A6E" w:rsidRDefault="00000000">
      <w:r>
        <w:t xml:space="preserve">The answer may lie in </w:t>
      </w:r>
      <w:proofErr w:type="spellStart"/>
      <w:r>
        <w:t>recogni</w:t>
      </w:r>
      <w:r w:rsidR="006E04BC">
        <w:t>s</w:t>
      </w:r>
      <w:r>
        <w:t>ing</w:t>
      </w:r>
      <w:proofErr w:type="spellEnd"/>
      <w:r>
        <w:t xml:space="preserve"> that 'freelance' scientific work—whether by emeriti or early-career researchers—deserves appropriate compensation. The issue is not that emeriti deserve special payment for services that others provide for free, but rather that the scientific community should reconsider its reliance on uncompensated professional service across all career stages. Recommending emeritus remuneration could be seen either as perpetuating ageist assumptions about emeritus capabilities, or as highlighting a broader inequity in how scientific </w:t>
      </w:r>
      <w:proofErr w:type="spellStart"/>
      <w:r>
        <w:t>labo</w:t>
      </w:r>
      <w:r w:rsidR="006E04BC">
        <w:t>u</w:t>
      </w:r>
      <w:r>
        <w:t>r</w:t>
      </w:r>
      <w:proofErr w:type="spellEnd"/>
      <w:r>
        <w:t xml:space="preserve"> is valued.</w:t>
      </w:r>
    </w:p>
    <w:p w14:paraId="7F0EF38D" w14:textId="0B477A12" w:rsidR="004E3A6E" w:rsidRDefault="00000000">
      <w:r>
        <w:t>Furthermore, the notion of emeritus professors as 'freelance' scientists carries its own complications. Freelance status typically implies both autonomy and precarity, without the institutional support, benefits, or stability of traditional employment. While emeritus professors may have the autonomy to choose their projects and collaborations, they also lack the institutional scaffolding that makes sustained research possible. Recommending freelance status without addressing these underlying structural issues may simply codify rather than alleviate the challenges emeriti face.</w:t>
      </w:r>
    </w:p>
    <w:p w14:paraId="21F43F1B" w14:textId="5022A9C7" w:rsidR="004E3A6E" w:rsidRDefault="00000000">
      <w:r>
        <w:t xml:space="preserve">Despite these complexities, there are strong </w:t>
      </w:r>
      <w:proofErr w:type="gramStart"/>
      <w:r>
        <w:t>counter-arguments</w:t>
      </w:r>
      <w:proofErr w:type="gramEnd"/>
      <w:r>
        <w:t xml:space="preserve"> to purely ageist agendas. Emeritus professors (1) take some of the burden of research-associated activities – like reviewing – off the shoulders of their younger colleagues thereby freeing them to conduct their own research, (2) help to make discoveries that provide new research opportunities for their colleagues, (3) could be affiliated with foreign institutes to which they would bring fresh approaches and networks, and (4) require a level of funding that is negligible in comparison with the funding of research and higher education.</w:t>
      </w:r>
    </w:p>
    <w:p w14:paraId="6C0B76F1" w14:textId="5CD81BB2" w:rsidR="004E3A6E" w:rsidRDefault="00000000">
      <w:r>
        <w:t xml:space="preserve">Moreover, in the case of those who have built an empire, it might also be argued that their continued presence may stifle innovation. Although the continued productivity of many emeritus scientists challenges ageist assumptions, challenges to entrenched beliefs can provoke hostility. Indeed, some colleagues may privately welcome retirement as an opportunity to clear the way for new research agendas, career advancement, or even the </w:t>
      </w:r>
      <w:r>
        <w:lastRenderedPageBreak/>
        <w:t>settling of old rivalries. As Stephen Leacock is reputed to have remarked, 'A professor emeritus is like a eunuch in a harem: he knows how it is done, but he cannot do it anymore.' {Leacock, 2011 #11374} While wittily capturing perceived limitations, this quote overlooks the unique value emeriti bring: wisdom, experience, and networks that can benefit entire research communities.</w:t>
      </w:r>
    </w:p>
    <w:p w14:paraId="1BB7A980" w14:textId="69AB64C9" w:rsidR="004E3A6E" w:rsidRDefault="00000000">
      <w:r>
        <w:t>What, then, is the remedy? We propose a multi-faceted approach that recognizes both the contributions emeritus professors can make and the legitimate concerns about resource allocation and intergenerational equity.</w:t>
      </w:r>
    </w:p>
    <w:p w14:paraId="25507D89" w14:textId="6F466D26" w:rsidR="004E3A6E" w:rsidRDefault="00000000">
      <w:r>
        <w:t>First, higher-education institutions should be encouraged through clear national and international recommendations to recognise and facilitate the continuing contributions of emeritus professors. Such measures would be entirely consistent with political statements such as Emmanuel Macron's declaration that 'Here in France, research is a priority, innovation is a culture, science is a limitless horizon.' {Macron, 2025 #11373}</w:t>
      </w:r>
    </w:p>
    <w:p w14:paraId="61E1457C" w14:textId="7BD64DDA" w:rsidR="004E3A6E" w:rsidRDefault="00000000">
      <w:r>
        <w:t xml:space="preserve">Second, an international framework should be established to support emeritus professors collaborating with institutions abroad. For example, emeritus professors from outside Europe could be attached to European laboratories – again echoing the invitation 'Researchers from around the world, choose France, choose Europe!' {Macron, 2025 #11373} – while emeritus professors within Europe could be attached to laboratories in other European countries. Their role would be to work alongside researchers in the host institution to advance research through publications, patents, and start-up activity, which could also serve as criteria for evaluating the success of the </w:t>
      </w:r>
      <w:proofErr w:type="spellStart"/>
      <w:r>
        <w:t>programme</w:t>
      </w:r>
      <w:proofErr w:type="spellEnd"/>
      <w:r>
        <w:t>.</w:t>
      </w:r>
    </w:p>
    <w:p w14:paraId="49640398" w14:textId="6775988F" w:rsidR="004E3A6E" w:rsidRDefault="00000000">
      <w:r>
        <w:t>Third, concerning funding and resource allocation, we recommend following the American model where grants are available to all scientists independent of age, with applications valued on merit rather than chronological age. Rather than establishing dedicated grants that might be perceived as competing with younger researchers, emeriti should be eligible to compete for the same grants as their younger colleagues, provided they maintain an institutional affiliation that permits them to serve as Principal Investigators. This merit-based approach respects both the continuing capabilities of senior scientists and the needs of early-career researchers. In cases where emeritus grants are established, they should be designed to complement rather than compete with early-career funding—for example, by funding collaborative projects that pair emeritus expertise with early-career innovation, or by supporting synthesis and meta-research activities that build on accumulated knowledge.</w:t>
      </w:r>
    </w:p>
    <w:p w14:paraId="769AC6FA" w14:textId="256A833D" w:rsidR="004E3A6E" w:rsidRDefault="00000000">
      <w:r>
        <w:t xml:space="preserve">Fourth, regarding remuneration for professional activities, we recommend that the scientific community reconsider how it values and compensates professional service across all career stages. The question of whether emeriti should be paid for reviewing, site visits, or conference organisation cannot be separated from the broader question of whether anyone should be expected to provide these services without compensation. Rather than creating special payment arrangements only for emeriti, institutions and funding bodies should develop more systematic approaches to compensating scientific service work, with </w:t>
      </w:r>
      <w:r>
        <w:lastRenderedPageBreak/>
        <w:t>appropriate consideration of the financial circumstances that emeritus professors may face after retirement.</w:t>
      </w:r>
    </w:p>
    <w:p w14:paraId="2AD056CA" w14:textId="77777777" w:rsidR="004E3A6E" w:rsidRDefault="00000000">
      <w:r>
        <w:t>Such a scheme would provide modest funding to enable emeritus professors to visit host laboratories and participate in collaborative research programmes. Even if implemented on a large scale, the costs would remain relatively small: supporting one thousand emeritus professors with grants of ten thousand euros each would amount to only ten million euros per year (negligible compared for example to the 2021-2027 budget of €95.5 billion for the Horizon Europe programme). Given the proven experience, expertise, and productivity of many emeritus professors, the scientific and economic returns on such an investment could be substantial.</w:t>
      </w:r>
    </w:p>
    <w:sectPr w:rsidR="004E3A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2547095">
    <w:abstractNumId w:val="8"/>
  </w:num>
  <w:num w:numId="2" w16cid:durableId="1043410893">
    <w:abstractNumId w:val="6"/>
  </w:num>
  <w:num w:numId="3" w16cid:durableId="1733848373">
    <w:abstractNumId w:val="5"/>
  </w:num>
  <w:num w:numId="4" w16cid:durableId="2023697183">
    <w:abstractNumId w:val="4"/>
  </w:num>
  <w:num w:numId="5" w16cid:durableId="1492716463">
    <w:abstractNumId w:val="7"/>
  </w:num>
  <w:num w:numId="6" w16cid:durableId="1929995506">
    <w:abstractNumId w:val="3"/>
  </w:num>
  <w:num w:numId="7" w16cid:durableId="1051425020">
    <w:abstractNumId w:val="2"/>
  </w:num>
  <w:num w:numId="8" w16cid:durableId="835995792">
    <w:abstractNumId w:val="1"/>
  </w:num>
  <w:num w:numId="9" w16cid:durableId="1726415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A6E"/>
    <w:rsid w:val="006E04BC"/>
    <w:rsid w:val="007552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8AAC4"/>
  <w14:defaultImageDpi w14:val="300"/>
  <w15:docId w15:val="{72F6654E-1A56-8947-9D4F-2D08F1FD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Glenn White</cp:lastModifiedBy>
  <cp:revision>2</cp:revision>
  <dcterms:created xsi:type="dcterms:W3CDTF">2013-12-23T23:15:00Z</dcterms:created>
  <dcterms:modified xsi:type="dcterms:W3CDTF">2026-06-06T18:29:00Z</dcterms:modified>
  <cp:category/>
</cp:coreProperties>
</file>