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Mapa del tambo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cuadrado pequeño equivale a 2,5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puntos naranja son las ubicaciones de los terminales, en la sala de servidores se encuentran en el mismo punto naranja el switch, router y equipo servidor.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372100"/>
            <wp:effectExtent b="0" l="0" r="0" t="0"/>
            <wp:docPr descr="prueba32 - copia.jpg" id="1" name="image01.jpg"/>
            <a:graphic>
              <a:graphicData uri="http://schemas.openxmlformats.org/drawingml/2006/picture">
                <pic:pic>
                  <pic:nvPicPr>
                    <pic:cNvPr descr="prueba32 - copia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