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4A4A" w14:textId="60611E07" w:rsidR="00EF4B33" w:rsidRPr="00D9631B" w:rsidRDefault="00C5715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REVISIÓN DE CASOS DE USO</w:t>
      </w:r>
    </w:p>
    <w:tbl>
      <w:tblPr>
        <w:tblW w:w="8928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EF4B33" w:rsidRPr="00D9631B" w14:paraId="219AA5F0" w14:textId="77777777" w:rsidTr="000E4854">
        <w:trPr>
          <w:cantSplit/>
        </w:trPr>
        <w:tc>
          <w:tcPr>
            <w:tcW w:w="1584" w:type="dxa"/>
          </w:tcPr>
          <w:p w14:paraId="151DF604" w14:textId="2DBA1AB8"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73B81E" w14:textId="7E34933B" w:rsidR="00EF4B33" w:rsidRPr="00D9631B" w:rsidRDefault="003F37EF">
            <w:pPr>
              <w:rPr>
                <w:sz w:val="20"/>
                <w:szCs w:val="20"/>
                <w:lang w:val="es-MX"/>
              </w:rPr>
            </w:pPr>
            <w:r w:rsidRPr="003F37EF">
              <w:rPr>
                <w:sz w:val="20"/>
                <w:szCs w:val="20"/>
                <w:lang w:val="es-MX"/>
              </w:rPr>
              <w:t>Daniel Arredondo Salcedo</w:t>
            </w:r>
          </w:p>
        </w:tc>
        <w:tc>
          <w:tcPr>
            <w:tcW w:w="1296" w:type="dxa"/>
          </w:tcPr>
          <w:p w14:paraId="276B2760" w14:textId="77777777"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D2447F" w14:textId="78887214" w:rsidR="00EF4B33" w:rsidRPr="00D9631B" w:rsidRDefault="003F37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02/05/2023</w:t>
            </w:r>
          </w:p>
        </w:tc>
      </w:tr>
      <w:tr w:rsidR="00EF4B33" w:rsidRPr="003F37EF" w14:paraId="56EA34AC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4DCADF2" w14:textId="69925454" w:rsidR="00EF4B33" w:rsidRPr="00D9631B" w:rsidRDefault="000E485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Producto trabajo: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4" w:space="0" w:color="auto"/>
            </w:tcBorders>
          </w:tcPr>
          <w:p w14:paraId="6109FADF" w14:textId="7689D1AA" w:rsidR="00EF4B33" w:rsidRPr="00D9631B" w:rsidRDefault="003F37EF" w:rsidP="00AA75A8">
            <w:pPr>
              <w:rPr>
                <w:sz w:val="20"/>
                <w:szCs w:val="20"/>
                <w:lang w:val="es-MX"/>
              </w:rPr>
            </w:pPr>
            <w:r w:rsidRPr="003F37EF">
              <w:rPr>
                <w:sz w:val="20"/>
                <w:szCs w:val="20"/>
                <w:lang w:val="es-MX"/>
              </w:rPr>
              <w:t>4_Registro y gestión de cuentas-Administrador.doc</w:t>
            </w:r>
          </w:p>
        </w:tc>
      </w:tr>
      <w:tr w:rsidR="00926334" w:rsidRPr="00AF03B2" w14:paraId="50117136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AF46168" w14:textId="579FD684"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</w:tcPr>
          <w:p w14:paraId="1C49A37B" w14:textId="258D69C5" w:rsidR="00926334" w:rsidRDefault="003F37EF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14:paraId="4831020D" w14:textId="77777777"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6343"/>
        <w:gridCol w:w="1561"/>
      </w:tblGrid>
      <w:tr w:rsidR="00EF4B33" w:rsidRPr="00D9631B" w14:paraId="05FD80EF" w14:textId="77777777">
        <w:tc>
          <w:tcPr>
            <w:tcW w:w="1150" w:type="dxa"/>
          </w:tcPr>
          <w:p w14:paraId="1B2899F8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343" w:type="dxa"/>
          </w:tcPr>
          <w:p w14:paraId="7FA7927C" w14:textId="5A4D243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</w:t>
            </w:r>
          </w:p>
        </w:tc>
        <w:tc>
          <w:tcPr>
            <w:tcW w:w="1561" w:type="dxa"/>
          </w:tcPr>
          <w:p w14:paraId="5AABA59E" w14:textId="7777777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14:paraId="64B6A261" w14:textId="77777777">
        <w:tc>
          <w:tcPr>
            <w:tcW w:w="1150" w:type="dxa"/>
          </w:tcPr>
          <w:p w14:paraId="6947FED4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343" w:type="dxa"/>
          </w:tcPr>
          <w:p w14:paraId="0A07F917" w14:textId="2DA0D7F2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los elementos para cada categoría de lista de verificación; ¡no intente repasar más de un elemento a la vez!</w:t>
            </w:r>
          </w:p>
          <w:p w14:paraId="6EEB944F" w14:textId="7B43FBC3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 xml:space="preserve">Cuando termina cada paso de evaluación, </w:t>
            </w:r>
            <w:r w:rsidR="000E4854">
              <w:rPr>
                <w:lang w:val="es-MX"/>
              </w:rPr>
              <w:t>marque</w:t>
            </w:r>
            <w:r w:rsidRPr="00D9631B">
              <w:rPr>
                <w:lang w:val="es-MX"/>
              </w:rPr>
              <w:t xml:space="preserve"> ese elemento en la caja a la derecha.</w:t>
            </w:r>
          </w:p>
          <w:p w14:paraId="5EA59A4D" w14:textId="37F19F34"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</w:t>
            </w:r>
            <w:r w:rsidR="000E4854">
              <w:rPr>
                <w:lang w:val="es-MX"/>
              </w:rPr>
              <w:t>descripción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561" w:type="dxa"/>
          </w:tcPr>
          <w:p w14:paraId="121D62B4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 w14:anchorId="50925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15pt;height:21.45pt" o:ole="">
                  <v:imagedata r:id="rId8" o:title=""/>
                </v:shape>
                <o:OLEObject Type="Embed" ProgID="PBrush" ShapeID="_x0000_i1025" DrawAspect="Content" ObjectID="_174454861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14:paraId="0C6047FE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1A5C80ED">
                <v:shape id="_x0000_i1026" type="#_x0000_t75" style="width:23.15pt;height:22.3pt" o:ole="">
                  <v:imagedata r:id="rId10" o:title=""/>
                </v:shape>
                <o:OLEObject Type="Embed" ProgID="PBrush" ShapeID="_x0000_i1026" DrawAspect="Content" ObjectID="_174454861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14:paraId="4D804B8A" w14:textId="77777777"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7E5356" w:rsidRPr="00D9631B" w14:paraId="4D6A8420" w14:textId="77777777" w:rsidTr="00B548BB">
        <w:trPr>
          <w:cantSplit/>
          <w:tblHeader/>
        </w:trPr>
        <w:tc>
          <w:tcPr>
            <w:tcW w:w="2109" w:type="pct"/>
            <w:vMerge w:val="restart"/>
            <w:vAlign w:val="center"/>
          </w:tcPr>
          <w:p w14:paraId="4DDEC0FA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proofErr w:type="gramStart"/>
            <w:r w:rsidRPr="00D9631B">
              <w:rPr>
                <w:b/>
                <w:sz w:val="20"/>
                <w:szCs w:val="20"/>
                <w:lang w:val="es-MX"/>
              </w:rPr>
              <w:t>Aspecto a revisar</w:t>
            </w:r>
            <w:proofErr w:type="gramEnd"/>
          </w:p>
        </w:tc>
        <w:tc>
          <w:tcPr>
            <w:tcW w:w="2891" w:type="pct"/>
            <w:gridSpan w:val="2"/>
            <w:vAlign w:val="center"/>
          </w:tcPr>
          <w:p w14:paraId="759E1A79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Elementos</w:t>
            </w:r>
          </w:p>
        </w:tc>
      </w:tr>
      <w:tr w:rsidR="00AF03B2" w:rsidRPr="00D9631B" w14:paraId="206C0A7C" w14:textId="77777777" w:rsidTr="00B548BB">
        <w:trPr>
          <w:cantSplit/>
          <w:trHeight w:val="475"/>
          <w:tblHeader/>
        </w:trPr>
        <w:tc>
          <w:tcPr>
            <w:tcW w:w="2109" w:type="pct"/>
            <w:vMerge/>
          </w:tcPr>
          <w:p w14:paraId="0A5B9652" w14:textId="77777777" w:rsidR="00AF03B2" w:rsidRPr="00D9631B" w:rsidRDefault="00AF03B2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94" w:type="pct"/>
            <w:vAlign w:val="center"/>
          </w:tcPr>
          <w:p w14:paraId="76A28155" w14:textId="32F9488D" w:rsidR="00AF03B2" w:rsidRPr="00DB3B59" w:rsidRDefault="000E4854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DB3B59">
              <w:rPr>
                <w:b/>
                <w:bCs/>
                <w:sz w:val="20"/>
                <w:szCs w:val="20"/>
                <w:lang w:val="es-MX"/>
              </w:rPr>
              <w:t>Eval</w:t>
            </w:r>
            <w:proofErr w:type="spellEnd"/>
          </w:p>
        </w:tc>
        <w:tc>
          <w:tcPr>
            <w:tcW w:w="2497" w:type="pct"/>
            <w:vAlign w:val="center"/>
          </w:tcPr>
          <w:p w14:paraId="534886E6" w14:textId="77777777" w:rsidR="00AF03B2" w:rsidRPr="00DB3B59" w:rsidRDefault="00653A5F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DB3B59">
              <w:rPr>
                <w:b/>
                <w:bCs/>
                <w:sz w:val="20"/>
                <w:szCs w:val="20"/>
                <w:lang w:val="es-MX"/>
              </w:rPr>
              <w:t>Descripción de defecto</w:t>
            </w:r>
          </w:p>
        </w:tc>
      </w:tr>
      <w:tr w:rsidR="007E5356" w:rsidRPr="00D9631B" w14:paraId="4C3DDBFE" w14:textId="77777777" w:rsidTr="00B548BB">
        <w:trPr>
          <w:cantSplit/>
        </w:trPr>
        <w:tc>
          <w:tcPr>
            <w:tcW w:w="5000" w:type="pct"/>
            <w:gridSpan w:val="3"/>
          </w:tcPr>
          <w:p w14:paraId="6BDB0438" w14:textId="4864D8FD" w:rsidR="007E5356" w:rsidRPr="00D9631B" w:rsidRDefault="000D370E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Diagrama general</w:t>
            </w:r>
          </w:p>
        </w:tc>
      </w:tr>
      <w:tr w:rsidR="003F37EF" w:rsidRPr="00D56E1B" w14:paraId="6CA5703E" w14:textId="77777777" w:rsidTr="00B548BB">
        <w:trPr>
          <w:cantSplit/>
        </w:trPr>
        <w:tc>
          <w:tcPr>
            <w:tcW w:w="2109" w:type="pct"/>
          </w:tcPr>
          <w:p w14:paraId="2C8673DD" w14:textId="01824CD1" w:rsidR="003F37EF" w:rsidRPr="005B0AD4" w:rsidRDefault="003F37EF" w:rsidP="003F37E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0AD4">
              <w:rPr>
                <w:sz w:val="20"/>
                <w:szCs w:val="20"/>
              </w:rPr>
              <w:t>Los casos de uso y los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actores están</w:t>
            </w:r>
          </w:p>
          <w:p w14:paraId="7C2D7EA7" w14:textId="7EC74BCF" w:rsidR="003F37EF" w:rsidRPr="00D9631B" w:rsidRDefault="003F37EF" w:rsidP="003F37EF">
            <w:pPr>
              <w:pStyle w:val="Prrafodelista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</w:t>
            </w:r>
            <w:r w:rsidRPr="005B0AD4">
              <w:rPr>
                <w:sz w:val="20"/>
                <w:szCs w:val="20"/>
              </w:rPr>
              <w:t>dentificados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apropiadamente</w:t>
            </w:r>
          </w:p>
        </w:tc>
        <w:tc>
          <w:tcPr>
            <w:tcW w:w="394" w:type="pct"/>
          </w:tcPr>
          <w:p w14:paraId="7860D5A2" w14:textId="34D3F3B1" w:rsidR="003F37EF" w:rsidRPr="00D9631B" w:rsidRDefault="003F37EF" w:rsidP="003F37EF">
            <w:pPr>
              <w:jc w:val="both"/>
              <w:rPr>
                <w:sz w:val="20"/>
                <w:szCs w:val="20"/>
                <w:lang w:val="es-MX"/>
              </w:rPr>
            </w:pPr>
            <w:r w:rsidRPr="000A2118">
              <w:rPr>
                <w:lang w:val="es-MX"/>
              </w:rPr>
              <w:object w:dxaOrig="468" w:dyaOrig="432" w14:anchorId="3F4E2AFD">
                <v:shape id="_x0000_i1030" type="#_x0000_t75" style="width:23.15pt;height:21.45pt" o:ole="">
                  <v:imagedata r:id="rId8" o:title=""/>
                </v:shape>
                <o:OLEObject Type="Embed" ProgID="PBrush" ShapeID="_x0000_i1030" DrawAspect="Content" ObjectID="_1744548618" r:id="rId12"/>
              </w:object>
            </w:r>
          </w:p>
        </w:tc>
        <w:tc>
          <w:tcPr>
            <w:tcW w:w="2497" w:type="pct"/>
          </w:tcPr>
          <w:p w14:paraId="35F0A98E" w14:textId="1FC221D8" w:rsidR="003F37EF" w:rsidRPr="00D56E1B" w:rsidRDefault="00D56E1B" w:rsidP="003F37EF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 w:rsidRPr="00D56E1B">
              <w:rPr>
                <w:color w:val="FF0000"/>
                <w:sz w:val="20"/>
                <w:szCs w:val="20"/>
                <w:lang w:val="es-MX"/>
              </w:rPr>
              <w:t>Describir adecuadamente el actor, tomar la descripción</w:t>
            </w:r>
          </w:p>
        </w:tc>
      </w:tr>
      <w:tr w:rsidR="003F37EF" w:rsidRPr="003F37EF" w14:paraId="5B40B73E" w14:textId="77777777" w:rsidTr="00B548BB">
        <w:trPr>
          <w:cantSplit/>
        </w:trPr>
        <w:tc>
          <w:tcPr>
            <w:tcW w:w="2109" w:type="pct"/>
          </w:tcPr>
          <w:p w14:paraId="21CFFB8D" w14:textId="0583344E" w:rsidR="003F37EF" w:rsidRPr="00D9631B" w:rsidRDefault="003F37EF" w:rsidP="003F37E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 xml:space="preserve">El diagrama de casos de uso usa la notación </w:t>
            </w:r>
            <w:proofErr w:type="spellStart"/>
            <w:r w:rsidRPr="005B6D6E">
              <w:rPr>
                <w:sz w:val="20"/>
                <w:szCs w:val="20"/>
              </w:rPr>
              <w:t>UML</w:t>
            </w:r>
            <w:proofErr w:type="spellEnd"/>
            <w:r w:rsidRPr="005B6D6E">
              <w:rPr>
                <w:sz w:val="20"/>
                <w:szCs w:val="20"/>
              </w:rPr>
              <w:t xml:space="preserve"> apropiadamente</w:t>
            </w:r>
          </w:p>
        </w:tc>
        <w:tc>
          <w:tcPr>
            <w:tcW w:w="394" w:type="pct"/>
          </w:tcPr>
          <w:p w14:paraId="42F221F8" w14:textId="128220FA" w:rsidR="003F37EF" w:rsidRPr="00D9631B" w:rsidRDefault="003F37EF" w:rsidP="003F37EF">
            <w:pPr>
              <w:jc w:val="both"/>
              <w:rPr>
                <w:sz w:val="20"/>
                <w:szCs w:val="20"/>
                <w:lang w:val="es-MX"/>
              </w:rPr>
            </w:pPr>
            <w:r w:rsidRPr="000A2118">
              <w:rPr>
                <w:lang w:val="es-MX"/>
              </w:rPr>
              <w:object w:dxaOrig="468" w:dyaOrig="432" w14:anchorId="4238A797">
                <v:shape id="_x0000_i1031" type="#_x0000_t75" style="width:23.15pt;height:21.45pt" o:ole="">
                  <v:imagedata r:id="rId8" o:title=""/>
                </v:shape>
                <o:OLEObject Type="Embed" ProgID="PBrush" ShapeID="_x0000_i1031" DrawAspect="Content" ObjectID="_1744548619" r:id="rId13"/>
              </w:object>
            </w:r>
          </w:p>
        </w:tc>
        <w:tc>
          <w:tcPr>
            <w:tcW w:w="2497" w:type="pct"/>
          </w:tcPr>
          <w:p w14:paraId="5E0E0773" w14:textId="29632B8D" w:rsidR="003F37EF" w:rsidRPr="00D56E1B" w:rsidRDefault="003F37EF" w:rsidP="003F37EF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3F37EF" w14:paraId="19F94131" w14:textId="77777777" w:rsidTr="002C237C">
        <w:trPr>
          <w:cantSplit/>
        </w:trPr>
        <w:tc>
          <w:tcPr>
            <w:tcW w:w="5000" w:type="pct"/>
            <w:gridSpan w:val="3"/>
          </w:tcPr>
          <w:p w14:paraId="7304CB54" w14:textId="33E16AC6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Especificación de casos de uso</w:t>
            </w:r>
          </w:p>
        </w:tc>
      </w:tr>
      <w:tr w:rsidR="005B6D6E" w:rsidRPr="003F37EF" w14:paraId="0860AB5B" w14:textId="77777777" w:rsidTr="002C237C">
        <w:trPr>
          <w:cantSplit/>
        </w:trPr>
        <w:tc>
          <w:tcPr>
            <w:tcW w:w="2109" w:type="pct"/>
          </w:tcPr>
          <w:p w14:paraId="53CF3C2C" w14:textId="55F21E6A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Indican pre/post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condiciones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adecuadamente</w:t>
            </w:r>
          </w:p>
        </w:tc>
        <w:tc>
          <w:tcPr>
            <w:tcW w:w="394" w:type="pct"/>
          </w:tcPr>
          <w:p w14:paraId="50443A87" w14:textId="0A28861F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7033B15F">
                <v:shape id="_x0000_i1033" type="#_x0000_t75" style="width:23.15pt;height:21.45pt" o:ole="">
                  <v:imagedata r:id="rId8" o:title=""/>
                </v:shape>
                <o:OLEObject Type="Embed" ProgID="PBrush" ShapeID="_x0000_i1033" DrawAspect="Content" ObjectID="_1744548620" r:id="rId14"/>
              </w:object>
            </w:r>
          </w:p>
        </w:tc>
        <w:tc>
          <w:tcPr>
            <w:tcW w:w="2497" w:type="pct"/>
          </w:tcPr>
          <w:p w14:paraId="64861F03" w14:textId="77777777" w:rsidR="005B6D6E" w:rsidRPr="00D56E1B" w:rsidRDefault="005B6D6E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3F37EF" w14:paraId="0FC95AEE" w14:textId="77777777" w:rsidTr="002C237C">
        <w:trPr>
          <w:cantSplit/>
        </w:trPr>
        <w:tc>
          <w:tcPr>
            <w:tcW w:w="2109" w:type="pct"/>
          </w:tcPr>
          <w:p w14:paraId="7F9A7FCC" w14:textId="669BC950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flujo de tareas normal, alternativo y excepciones 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 xml:space="preserve">coherente </w:t>
            </w:r>
            <w:r>
              <w:rPr>
                <w:sz w:val="20"/>
                <w:szCs w:val="20"/>
              </w:rPr>
              <w:t>con la descripción del caso de uso.</w:t>
            </w:r>
          </w:p>
        </w:tc>
        <w:tc>
          <w:tcPr>
            <w:tcW w:w="394" w:type="pct"/>
          </w:tcPr>
          <w:p w14:paraId="6525A8B9" w14:textId="043349A4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07DB5407">
                <v:shape id="_x0000_i1035" type="#_x0000_t75" style="width:23.15pt;height:22.3pt" o:ole="">
                  <v:imagedata r:id="rId10" o:title=""/>
                </v:shape>
                <o:OLEObject Type="Embed" ProgID="PBrush" ShapeID="_x0000_i1035" DrawAspect="Content" ObjectID="_1744548621" r:id="rId15"/>
              </w:object>
            </w:r>
          </w:p>
        </w:tc>
        <w:tc>
          <w:tcPr>
            <w:tcW w:w="2497" w:type="pct"/>
          </w:tcPr>
          <w:p w14:paraId="70C6A589" w14:textId="237CCC07" w:rsidR="005B6D6E" w:rsidRPr="00D56E1B" w:rsidRDefault="00D56E1B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 w:rsidRPr="00D56E1B">
              <w:rPr>
                <w:color w:val="FF0000"/>
                <w:sz w:val="20"/>
                <w:szCs w:val="20"/>
                <w:lang w:val="es-MX"/>
              </w:rPr>
              <w:t xml:space="preserve">Detallar los flujos de operaciones para registrar, modificar y consultar </w:t>
            </w:r>
            <w:proofErr w:type="spellStart"/>
            <w:r w:rsidRPr="00D56E1B">
              <w:rPr>
                <w:color w:val="FF0000"/>
                <w:sz w:val="20"/>
                <w:szCs w:val="20"/>
                <w:lang w:val="es-MX"/>
              </w:rPr>
              <w:t>ceuntas</w:t>
            </w:r>
            <w:proofErr w:type="spellEnd"/>
          </w:p>
        </w:tc>
      </w:tr>
      <w:tr w:rsidR="005B6D6E" w:rsidRPr="003F37EF" w14:paraId="3A388F7D" w14:textId="77777777" w:rsidTr="002C237C">
        <w:trPr>
          <w:cantSplit/>
        </w:trPr>
        <w:tc>
          <w:tcPr>
            <w:tcW w:w="2109" w:type="pct"/>
          </w:tcPr>
          <w:p w14:paraId="371BEDEA" w14:textId="73AE25AA" w:rsidR="005B6D6E" w:rsidRPr="005B6D6E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Identifica la prioridad, frecuencia e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información adicional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de cada caso de uso</w:t>
            </w:r>
          </w:p>
        </w:tc>
        <w:tc>
          <w:tcPr>
            <w:tcW w:w="394" w:type="pct"/>
          </w:tcPr>
          <w:p w14:paraId="4582E846" w14:textId="76810EC3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5D53E4E5">
                <v:shape id="_x0000_i1037" type="#_x0000_t75" style="width:23.15pt;height:21.45pt" o:ole="">
                  <v:imagedata r:id="rId8" o:title=""/>
                </v:shape>
                <o:OLEObject Type="Embed" ProgID="PBrush" ShapeID="_x0000_i1037" DrawAspect="Content" ObjectID="_1744548622" r:id="rId16"/>
              </w:object>
            </w:r>
          </w:p>
        </w:tc>
        <w:tc>
          <w:tcPr>
            <w:tcW w:w="2497" w:type="pct"/>
          </w:tcPr>
          <w:p w14:paraId="4A159D18" w14:textId="77777777" w:rsidR="005B6D6E" w:rsidRPr="00D56E1B" w:rsidRDefault="005B6D6E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5B6D6E" w14:paraId="242E6558" w14:textId="77777777" w:rsidTr="002C237C">
        <w:trPr>
          <w:cantSplit/>
        </w:trPr>
        <w:tc>
          <w:tcPr>
            <w:tcW w:w="5000" w:type="pct"/>
            <w:gridSpan w:val="3"/>
          </w:tcPr>
          <w:p w14:paraId="0A6A1EDB" w14:textId="09CF308A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Prototipo de pantallas</w:t>
            </w:r>
          </w:p>
        </w:tc>
      </w:tr>
      <w:tr w:rsidR="00D56E1B" w:rsidRPr="003F37EF" w14:paraId="1D2A6001" w14:textId="77777777" w:rsidTr="002C237C">
        <w:trPr>
          <w:cantSplit/>
        </w:trPr>
        <w:tc>
          <w:tcPr>
            <w:tcW w:w="2109" w:type="pct"/>
          </w:tcPr>
          <w:p w14:paraId="22F293C6" w14:textId="62234D17" w:rsidR="00D56E1B" w:rsidRPr="00D9631B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Abarca todas las funcionalidades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identificadas en el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diagrama d</w:t>
            </w:r>
            <w:r>
              <w:rPr>
                <w:sz w:val="20"/>
                <w:szCs w:val="20"/>
              </w:rPr>
              <w:t>e casos de uso</w:t>
            </w:r>
          </w:p>
        </w:tc>
        <w:tc>
          <w:tcPr>
            <w:tcW w:w="394" w:type="pct"/>
          </w:tcPr>
          <w:p w14:paraId="4F1BCC40" w14:textId="635D665A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5A7F5E9C">
                <v:shape id="_x0000_i1041" type="#_x0000_t75" style="width:23.15pt;height:21.45pt" o:ole="">
                  <v:imagedata r:id="rId8" o:title=""/>
                </v:shape>
                <o:OLEObject Type="Embed" ProgID="PBrush" ShapeID="_x0000_i1041" DrawAspect="Content" ObjectID="_1744548623" r:id="rId17"/>
              </w:object>
            </w:r>
          </w:p>
        </w:tc>
        <w:tc>
          <w:tcPr>
            <w:tcW w:w="2497" w:type="pct"/>
          </w:tcPr>
          <w:p w14:paraId="78778B5D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56E1B" w:rsidRPr="003F37EF" w14:paraId="0246336F" w14:textId="77777777" w:rsidTr="002C237C">
        <w:trPr>
          <w:cantSplit/>
        </w:trPr>
        <w:tc>
          <w:tcPr>
            <w:tcW w:w="2109" w:type="pct"/>
          </w:tcPr>
          <w:p w14:paraId="00C28258" w14:textId="46242C44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coherente con los flujos del caso de uso</w:t>
            </w:r>
          </w:p>
        </w:tc>
        <w:tc>
          <w:tcPr>
            <w:tcW w:w="394" w:type="pct"/>
          </w:tcPr>
          <w:p w14:paraId="410F2802" w14:textId="74974E33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112C892D">
                <v:shape id="_x0000_i1042" type="#_x0000_t75" style="width:23.15pt;height:21.45pt" o:ole="">
                  <v:imagedata r:id="rId8" o:title=""/>
                </v:shape>
                <o:OLEObject Type="Embed" ProgID="PBrush" ShapeID="_x0000_i1042" DrawAspect="Content" ObjectID="_1744548624" r:id="rId18"/>
              </w:object>
            </w:r>
          </w:p>
        </w:tc>
        <w:tc>
          <w:tcPr>
            <w:tcW w:w="2497" w:type="pct"/>
          </w:tcPr>
          <w:p w14:paraId="7D7EBDD9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56E1B" w:rsidRPr="003F37EF" w14:paraId="7491656F" w14:textId="77777777" w:rsidTr="002C237C">
        <w:trPr>
          <w:cantSplit/>
        </w:trPr>
        <w:tc>
          <w:tcPr>
            <w:tcW w:w="2109" w:type="pct"/>
          </w:tcPr>
          <w:p w14:paraId="61E6E086" w14:textId="741C3CF1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Los elementos gráficos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están organizados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son coherentes</w:t>
            </w:r>
          </w:p>
        </w:tc>
        <w:tc>
          <w:tcPr>
            <w:tcW w:w="394" w:type="pct"/>
          </w:tcPr>
          <w:p w14:paraId="71406D50" w14:textId="70466D93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6B9FE5F9">
                <v:shape id="_x0000_i1043" type="#_x0000_t75" style="width:23.15pt;height:21.45pt" o:ole="">
                  <v:imagedata r:id="rId8" o:title=""/>
                </v:shape>
                <o:OLEObject Type="Embed" ProgID="PBrush" ShapeID="_x0000_i1043" DrawAspect="Content" ObjectID="_1744548625" r:id="rId19"/>
              </w:object>
            </w:r>
          </w:p>
        </w:tc>
        <w:tc>
          <w:tcPr>
            <w:tcW w:w="2497" w:type="pct"/>
          </w:tcPr>
          <w:p w14:paraId="4FAE80D6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5B6D6E" w14:paraId="0F96F8D4" w14:textId="77777777" w:rsidTr="002C237C">
        <w:trPr>
          <w:cantSplit/>
        </w:trPr>
        <w:tc>
          <w:tcPr>
            <w:tcW w:w="5000" w:type="pct"/>
            <w:gridSpan w:val="3"/>
          </w:tcPr>
          <w:p w14:paraId="7696BB29" w14:textId="5134092E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General</w:t>
            </w:r>
          </w:p>
        </w:tc>
      </w:tr>
      <w:tr w:rsidR="00D56E1B" w:rsidRPr="003F37EF" w14:paraId="21FBDC00" w14:textId="77777777" w:rsidTr="002C237C">
        <w:trPr>
          <w:cantSplit/>
        </w:trPr>
        <w:tc>
          <w:tcPr>
            <w:tcW w:w="2109" w:type="pct"/>
          </w:tcPr>
          <w:p w14:paraId="2DD483E8" w14:textId="52530B02" w:rsidR="00D56E1B" w:rsidRPr="00D9631B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está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redactado de manera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correcta y clara</w:t>
            </w:r>
          </w:p>
        </w:tc>
        <w:tc>
          <w:tcPr>
            <w:tcW w:w="394" w:type="pct"/>
          </w:tcPr>
          <w:p w14:paraId="4CD5192C" w14:textId="0AEB6AF1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BA19A5">
              <w:rPr>
                <w:lang w:val="es-MX"/>
              </w:rPr>
              <w:object w:dxaOrig="468" w:dyaOrig="432" w14:anchorId="12E233D7">
                <v:shape id="_x0000_i1054" type="#_x0000_t75" style="width:23.15pt;height:21.45pt" o:ole="">
                  <v:imagedata r:id="rId8" o:title=""/>
                </v:shape>
                <o:OLEObject Type="Embed" ProgID="PBrush" ShapeID="_x0000_i1054" DrawAspect="Content" ObjectID="_1744548626" r:id="rId20"/>
              </w:object>
            </w:r>
          </w:p>
        </w:tc>
        <w:tc>
          <w:tcPr>
            <w:tcW w:w="2497" w:type="pct"/>
          </w:tcPr>
          <w:p w14:paraId="2633882D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56E1B" w:rsidRPr="003F37EF" w14:paraId="285AAE0A" w14:textId="77777777" w:rsidTr="002C237C">
        <w:trPr>
          <w:cantSplit/>
        </w:trPr>
        <w:tc>
          <w:tcPr>
            <w:tcW w:w="2109" w:type="pct"/>
          </w:tcPr>
          <w:p w14:paraId="4692B765" w14:textId="0F0C3816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denota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entendimiento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razonamiento</w:t>
            </w:r>
          </w:p>
        </w:tc>
        <w:tc>
          <w:tcPr>
            <w:tcW w:w="394" w:type="pct"/>
          </w:tcPr>
          <w:p w14:paraId="059282EC" w14:textId="32665404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BA19A5">
              <w:rPr>
                <w:lang w:val="es-MX"/>
              </w:rPr>
              <w:object w:dxaOrig="468" w:dyaOrig="432" w14:anchorId="04725CFF">
                <v:shape id="_x0000_i1045" type="#_x0000_t75" style="width:23.15pt;height:21.45pt" o:ole="">
                  <v:imagedata r:id="rId8" o:title=""/>
                </v:shape>
                <o:OLEObject Type="Embed" ProgID="PBrush" ShapeID="_x0000_i1045" DrawAspect="Content" ObjectID="_1744548627" r:id="rId21"/>
              </w:object>
            </w:r>
          </w:p>
        </w:tc>
        <w:tc>
          <w:tcPr>
            <w:tcW w:w="2497" w:type="pct"/>
          </w:tcPr>
          <w:p w14:paraId="60B55A6B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14:paraId="23495D70" w14:textId="77777777" w:rsidR="002555A3" w:rsidRPr="00D9631B" w:rsidRDefault="002555A3" w:rsidP="006B443A">
      <w:pPr>
        <w:spacing w:after="160" w:line="259" w:lineRule="auto"/>
        <w:rPr>
          <w:lang w:val="es-MX"/>
        </w:rPr>
      </w:pPr>
    </w:p>
    <w:sectPr w:rsidR="002555A3" w:rsidRPr="00D9631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9F0C0" w14:textId="77777777" w:rsidR="004D561B" w:rsidRDefault="004D561B" w:rsidP="0056798F">
      <w:r>
        <w:separator/>
      </w:r>
    </w:p>
  </w:endnote>
  <w:endnote w:type="continuationSeparator" w:id="0">
    <w:p w14:paraId="00DC25E1" w14:textId="77777777" w:rsidR="004D561B" w:rsidRDefault="004D561B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3513" w14:textId="77777777" w:rsidR="0051018E" w:rsidRDefault="005101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A888" w14:textId="77777777" w:rsidR="0051018E" w:rsidRDefault="005101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BCC0" w14:textId="77777777" w:rsidR="0051018E" w:rsidRDefault="005101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80B0" w14:textId="77777777" w:rsidR="004D561B" w:rsidRDefault="004D561B" w:rsidP="0056798F">
      <w:r>
        <w:separator/>
      </w:r>
    </w:p>
  </w:footnote>
  <w:footnote w:type="continuationSeparator" w:id="0">
    <w:p w14:paraId="60FEAE60" w14:textId="77777777" w:rsidR="004D561B" w:rsidRDefault="004D561B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C64B" w14:textId="77777777" w:rsidR="0051018E" w:rsidRDefault="005101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9989" w14:textId="77777777" w:rsidR="0056798F" w:rsidRPr="0056798F" w:rsidRDefault="0056798F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9C9C" w14:textId="77777777" w:rsidR="0051018E" w:rsidRDefault="005101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0EB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3581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5547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94937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B1AC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741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473D407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4328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70EE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5294">
    <w:abstractNumId w:val="7"/>
  </w:num>
  <w:num w:numId="2" w16cid:durableId="2136756466">
    <w:abstractNumId w:val="0"/>
  </w:num>
  <w:num w:numId="3" w16cid:durableId="1323313570">
    <w:abstractNumId w:val="9"/>
  </w:num>
  <w:num w:numId="4" w16cid:durableId="148058900">
    <w:abstractNumId w:val="1"/>
  </w:num>
  <w:num w:numId="5" w16cid:durableId="1654024763">
    <w:abstractNumId w:val="3"/>
  </w:num>
  <w:num w:numId="6" w16cid:durableId="53628985">
    <w:abstractNumId w:val="5"/>
  </w:num>
  <w:num w:numId="7" w16cid:durableId="3485571">
    <w:abstractNumId w:val="8"/>
  </w:num>
  <w:num w:numId="8" w16cid:durableId="351343125">
    <w:abstractNumId w:val="6"/>
  </w:num>
  <w:num w:numId="9" w16cid:durableId="119544112">
    <w:abstractNumId w:val="4"/>
  </w:num>
  <w:num w:numId="10" w16cid:durableId="1124695022">
    <w:abstractNumId w:val="2"/>
  </w:num>
  <w:num w:numId="11" w16cid:durableId="883104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0E86"/>
    <w:rsid w:val="000C222A"/>
    <w:rsid w:val="000C2242"/>
    <w:rsid w:val="000C2441"/>
    <w:rsid w:val="000C3828"/>
    <w:rsid w:val="000C3EF8"/>
    <w:rsid w:val="000D10FB"/>
    <w:rsid w:val="000D370E"/>
    <w:rsid w:val="000D5DA8"/>
    <w:rsid w:val="000E1EB6"/>
    <w:rsid w:val="000E3B90"/>
    <w:rsid w:val="000E4182"/>
    <w:rsid w:val="000E473D"/>
    <w:rsid w:val="000E4854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17716"/>
    <w:rsid w:val="00321AD0"/>
    <w:rsid w:val="003234FA"/>
    <w:rsid w:val="0032561C"/>
    <w:rsid w:val="003334ED"/>
    <w:rsid w:val="003339C0"/>
    <w:rsid w:val="00340A10"/>
    <w:rsid w:val="00341FCF"/>
    <w:rsid w:val="003432C6"/>
    <w:rsid w:val="00343731"/>
    <w:rsid w:val="00343753"/>
    <w:rsid w:val="003467C7"/>
    <w:rsid w:val="003470DA"/>
    <w:rsid w:val="003515CD"/>
    <w:rsid w:val="00353FFC"/>
    <w:rsid w:val="0036040D"/>
    <w:rsid w:val="00360CF5"/>
    <w:rsid w:val="003614FB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3F37EF"/>
    <w:rsid w:val="003F630F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63AFF"/>
    <w:rsid w:val="004652C1"/>
    <w:rsid w:val="00466776"/>
    <w:rsid w:val="00482BA1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561B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1018E"/>
    <w:rsid w:val="00521BE5"/>
    <w:rsid w:val="005306EF"/>
    <w:rsid w:val="005307EB"/>
    <w:rsid w:val="00532667"/>
    <w:rsid w:val="00532DA9"/>
    <w:rsid w:val="00543B68"/>
    <w:rsid w:val="00544537"/>
    <w:rsid w:val="005464F9"/>
    <w:rsid w:val="00552556"/>
    <w:rsid w:val="0055418F"/>
    <w:rsid w:val="005609F9"/>
    <w:rsid w:val="00565988"/>
    <w:rsid w:val="0056632D"/>
    <w:rsid w:val="00567772"/>
    <w:rsid w:val="0056798F"/>
    <w:rsid w:val="00570521"/>
    <w:rsid w:val="00583404"/>
    <w:rsid w:val="00585C95"/>
    <w:rsid w:val="005864F6"/>
    <w:rsid w:val="00587C7C"/>
    <w:rsid w:val="00594E99"/>
    <w:rsid w:val="005A0E4E"/>
    <w:rsid w:val="005A4463"/>
    <w:rsid w:val="005B0AD4"/>
    <w:rsid w:val="005B17E1"/>
    <w:rsid w:val="005B2BAB"/>
    <w:rsid w:val="005B2EBA"/>
    <w:rsid w:val="005B6D6E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22EF2"/>
    <w:rsid w:val="0062403E"/>
    <w:rsid w:val="00630C7C"/>
    <w:rsid w:val="00634EE5"/>
    <w:rsid w:val="0063703E"/>
    <w:rsid w:val="0064573C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443A"/>
    <w:rsid w:val="006B5A05"/>
    <w:rsid w:val="006B7058"/>
    <w:rsid w:val="006B728E"/>
    <w:rsid w:val="006B78C8"/>
    <w:rsid w:val="006C0C84"/>
    <w:rsid w:val="006C53AF"/>
    <w:rsid w:val="006D4B1F"/>
    <w:rsid w:val="006F18BB"/>
    <w:rsid w:val="006F737E"/>
    <w:rsid w:val="00701863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3E7E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160C7"/>
    <w:rsid w:val="0082175A"/>
    <w:rsid w:val="0082440E"/>
    <w:rsid w:val="00826C42"/>
    <w:rsid w:val="00830C56"/>
    <w:rsid w:val="00834341"/>
    <w:rsid w:val="008364F3"/>
    <w:rsid w:val="00837154"/>
    <w:rsid w:val="008459C4"/>
    <w:rsid w:val="008468AF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B41C4"/>
    <w:rsid w:val="008C0136"/>
    <w:rsid w:val="008C37DD"/>
    <w:rsid w:val="008D0943"/>
    <w:rsid w:val="008D2FDB"/>
    <w:rsid w:val="008D3E58"/>
    <w:rsid w:val="008E4D74"/>
    <w:rsid w:val="008F5FDB"/>
    <w:rsid w:val="009009B0"/>
    <w:rsid w:val="00906A63"/>
    <w:rsid w:val="0091036D"/>
    <w:rsid w:val="009203C1"/>
    <w:rsid w:val="009216DB"/>
    <w:rsid w:val="00924228"/>
    <w:rsid w:val="00926334"/>
    <w:rsid w:val="00930A4C"/>
    <w:rsid w:val="00935DC9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4E6A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C2108"/>
    <w:rsid w:val="00AC671A"/>
    <w:rsid w:val="00AC76D7"/>
    <w:rsid w:val="00AC7AB5"/>
    <w:rsid w:val="00AD35CB"/>
    <w:rsid w:val="00AD61F3"/>
    <w:rsid w:val="00AD73D7"/>
    <w:rsid w:val="00AE0BF3"/>
    <w:rsid w:val="00AE3001"/>
    <w:rsid w:val="00AE3FD2"/>
    <w:rsid w:val="00AF03B2"/>
    <w:rsid w:val="00B053BA"/>
    <w:rsid w:val="00B05A7B"/>
    <w:rsid w:val="00B0660C"/>
    <w:rsid w:val="00B16599"/>
    <w:rsid w:val="00B21A19"/>
    <w:rsid w:val="00B223D7"/>
    <w:rsid w:val="00B249B0"/>
    <w:rsid w:val="00B253CC"/>
    <w:rsid w:val="00B2724A"/>
    <w:rsid w:val="00B33035"/>
    <w:rsid w:val="00B34218"/>
    <w:rsid w:val="00B354BA"/>
    <w:rsid w:val="00B44D6B"/>
    <w:rsid w:val="00B45E32"/>
    <w:rsid w:val="00B548BB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57152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5FD7"/>
    <w:rsid w:val="00CD0861"/>
    <w:rsid w:val="00CD526F"/>
    <w:rsid w:val="00CE2121"/>
    <w:rsid w:val="00CE359F"/>
    <w:rsid w:val="00CE4479"/>
    <w:rsid w:val="00CE7805"/>
    <w:rsid w:val="00CF0E70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56E1B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720"/>
    <w:rsid w:val="00D9185D"/>
    <w:rsid w:val="00D9413C"/>
    <w:rsid w:val="00D9631B"/>
    <w:rsid w:val="00DA0E71"/>
    <w:rsid w:val="00DA3D11"/>
    <w:rsid w:val="00DB3B59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55FF0"/>
    <w:rsid w:val="00E6377F"/>
    <w:rsid w:val="00E674F7"/>
    <w:rsid w:val="00E82855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19D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0EA2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6E8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7F17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 Arredondo Salcedo</cp:lastModifiedBy>
  <cp:revision>23</cp:revision>
  <cp:lastPrinted>2023-02-07T19:25:00Z</cp:lastPrinted>
  <dcterms:created xsi:type="dcterms:W3CDTF">2022-10-27T18:14:00Z</dcterms:created>
  <dcterms:modified xsi:type="dcterms:W3CDTF">2023-05-02T22:03:00Z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