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Регламент діяльності звичайного товариства</w:t>
        <w:br/>
        <w:t>Звичайне товариство «Barykady Kultury»</w:t>
      </w:r>
    </w:p>
    <w:p>
      <w:pPr>
        <w:jc w:val="center"/>
      </w:pPr>
      <w:r>
        <w:rPr>
          <w:b/>
        </w:rPr>
        <w:t>§ 1</w:t>
      </w:r>
    </w:p>
    <w:p>
      <w:r>
        <w:t>1. Товариство має назву Звичайне товариство «Barykady Kultury», надалі в регламенті іменується «Товариство».</w:t>
      </w:r>
    </w:p>
    <w:p>
      <w:r>
        <w:t>2. Товариство є добровільним, самоврядним, постійним об'єднанням з некомерційною метою, яке не має статусу юридичної особи.</w:t>
      </w:r>
    </w:p>
    <w:p>
      <w:r>
        <w:t>3. Товариство є звичайним товариством (stowarzyszenie zwykłe) у розумінні закону «Право про асоціації».</w:t>
      </w:r>
    </w:p>
    <w:p>
      <w:r>
        <w:t>4. Основою діяльності Товариства є положення Закону від 7 квітня 1989 р. «Право про асоціації» та положення цього Регламенту.</w:t>
      </w:r>
    </w:p>
    <w:p>
      <w:r>
        <w:t>5. Територією діяльності Товариства є територія Республіки Польща, з особливим акцентом на місто Познань.</w:t>
      </w:r>
    </w:p>
    <w:p>
      <w:r>
        <w:t>6. Місцезнаходженням (штаб-квартирою) Товариства є місто Познань.</w:t>
      </w:r>
    </w:p>
    <w:p>
      <w:r>
        <w:t>7. Мовами комунікації та документації всередині Товариства є польська, українська та англійська.</w:t>
      </w:r>
    </w:p>
    <w:p>
      <w:pPr>
        <w:jc w:val="center"/>
      </w:pPr>
      <w:r>
        <w:rPr>
          <w:b/>
        </w:rPr>
        <w:t>§ 2</w:t>
      </w:r>
    </w:p>
    <w:p>
      <w:r>
        <w:t>Цілі діяльності Товариства:</w:t>
      </w:r>
    </w:p>
    <w:p>
      <w:r>
        <w:t>1. Культурна дипломатія: виконання ролі "культурного мосту" між українцями, поляками та міжнародною спільнотою.</w:t>
      </w:r>
    </w:p>
    <w:p>
      <w:r>
        <w:t>2. Неформальна, просвітницька та виховна освіта: популяризація знань, розвиток м'яких та громадянських навичок, а також підвищення обізнаності молоді щодо демократичних політичних процесів.</w:t>
      </w:r>
    </w:p>
    <w:p>
      <w:r>
        <w:t>3. Розвиток критичного мислення та протидія пропаганді і дезінформації.</w:t>
      </w:r>
    </w:p>
    <w:p>
      <w:r>
        <w:t>4. Захист прав людини, підтримка гендерної рівності, захист прав жінок та гідності мігрантів і біженців.</w:t>
      </w:r>
    </w:p>
    <w:p>
      <w:r>
        <w:t>5. Інтеграція та підтримка: діяльність на користь національних та етнічних меншин, підтримка адаптаційних процесів українців та інших іноземців у Польщі.</w:t>
      </w:r>
    </w:p>
    <w:p>
      <w:r>
        <w:t>6. Національна спадщина та історична пам'ять: захист культурних цінностей та відновлення і плекання історичної пам'яті, з особливим акцентом на догляд за українскими могилами та місцями пам'яті в Польщі.</w:t>
      </w:r>
    </w:p>
    <w:p>
      <w:r>
        <w:t>7. Охорона довкілля: ініціювання та підтримка досліджень щодо впливу російської війни на екологію.</w:t>
      </w:r>
    </w:p>
    <w:p>
      <w:r>
        <w:t>8. Промоція та організація волонтерства, а також благодійна діяльність.</w:t>
      </w:r>
    </w:p>
    <w:p>
      <w:r>
        <w:t>9. Промоція та популяризація української культури в Польщі та у світі.</w:t>
      </w:r>
    </w:p>
    <w:p>
      <w:r>
        <w:t>10. Ініціювання публічних акцій, зібрань та протестів на захист прав людини та демократичних цінностей.</w:t>
      </w:r>
    </w:p>
    <w:p>
      <w:pPr>
        <w:jc w:val="center"/>
      </w:pPr>
      <w:r>
        <w:rPr>
          <w:b/>
        </w:rPr>
        <w:t>§ 3</w:t>
      </w:r>
    </w:p>
    <w:p>
      <w:r>
        <w:t>Товариство реалізує свої цілі шляхом:</w:t>
      </w:r>
    </w:p>
    <w:p>
      <w:r>
        <w:t>1. Видання та розповсюдження журналів, публікацій, а також ведення широкої інформаційної та видавничої діяльності.</w:t>
      </w:r>
    </w:p>
    <w:p>
      <w:r>
        <w:t>2. Організації тренінгів, воркшопів, семінарів та конференцій на різноманітну тематику, що відповідає на актуальні суспільні виклики (зокрема протидія дезінформації, особистісний розвиток, психологія, громадянські права).</w:t>
      </w:r>
    </w:p>
    <w:p>
      <w:r>
        <w:t>3. Організації та проведення мовних курсів, що полегшують адаптацію та інтеграцію іноземців у Польщі.</w:t>
      </w:r>
    </w:p>
    <w:p>
      <w:r>
        <w:t>4. Ініціювання та реалізації заходів щодо реставрації, інвентаризації та догляду за українськими могилами та місцями історичної пам'яті на території Польщі.</w:t>
      </w:r>
    </w:p>
    <w:p>
      <w:r>
        <w:t>5. Роботи з молоддю та тісної співпраці з освітніми закладами, зокрема школами та університетами.</w:t>
      </w:r>
    </w:p>
    <w:p>
      <w:r>
        <w:t>6. Проведення досліджень та аналітичних проєктів, що стосуються впливу російської збройної агресії на екологію та навколишнє середовище.</w:t>
      </w:r>
    </w:p>
    <w:p>
      <w:r>
        <w:t>7. Проведення і публікації інтерв'ю та документування соціального досвіду біженців і мігрантів.</w:t>
      </w:r>
    </w:p>
    <w:p>
      <w:r>
        <w:t>8. Організації соціальних кампаній, мистецьких та благодійних заходів.</w:t>
      </w:r>
    </w:p>
    <w:p>
      <w:r>
        <w:t>9. Співпраці з місцевим самоврядуванням, державними органами, медіа, а також польськими та міжнародними неурядовими організаціями.</w:t>
      </w:r>
    </w:p>
    <w:p>
      <w:r>
        <w:t>10. Організації культурних заходів, виставок, концертів, дискусійних форумів, показів фільмів та фестивалів.</w:t>
      </w:r>
    </w:p>
    <w:p>
      <w:r>
        <w:t>11. Організації та участі у легальних публічних зібраннях, соціальних акціях, маршах та протестах.</w:t>
      </w:r>
    </w:p>
    <w:p>
      <w:pPr>
        <w:jc w:val="center"/>
      </w:pPr>
      <w:r>
        <w:rPr>
          <w:b/>
        </w:rPr>
        <w:t>§ 4</w:t>
      </w:r>
    </w:p>
    <w:p>
      <w:r>
        <w:t>1. Членом Товариства може бути фізична особа, яка має повну дієздатність та не позбавлена публічних прав (включно з громадянами Польщі та іноземцями, незалежно від місця їхнього проживання), яка подасть письмову заяву про вступ до Товариства та акцептує цей Регламент.</w:t>
      </w:r>
    </w:p>
    <w:p>
      <w:r>
        <w:t>2. Рішення про прийняття або відмову у прийнятті до Товариства приймає Представник. Про прийняте рішення кандидат у члени інформується письмово протягом 7 днів з моменту подання заяви.</w:t>
      </w:r>
    </w:p>
    <w:p>
      <w:r>
        <w:t>3. У разі відмови у прийнятті до Товариства, є можливість подати апеляцію до Загальних зборів членів протягом 14 днів з дати отримання рішення про відмову. Апеляція подається через Представника.</w:t>
      </w:r>
    </w:p>
    <w:p>
      <w:r>
        <w:t>4. Втрата членства відбувається у разі:</w:t>
        <w:br/>
        <w:t xml:space="preserve">   a) смерті члена,</w:t>
        <w:br/>
        <w:t xml:space="preserve">   b) письмової заяви про вихід, поданої Представнику,</w:t>
        <w:br/>
        <w:t xml:space="preserve">   c) втрати повної дієздатності,</w:t>
        <w:br/>
        <w:t xml:space="preserve">   d) втрати публічних прав,</w:t>
        <w:br/>
        <w:t xml:space="preserve">   e) виключення члена Товариства з причини:</w:t>
        <w:br/>
        <w:t xml:space="preserve">      - несплати членських внесків протягом 6 місяців,</w:t>
        <w:br/>
        <w:t xml:space="preserve">      - недотримання резолюцій органів Товариства та положень цього Регламенту.</w:t>
      </w:r>
    </w:p>
    <w:p>
      <w:r>
        <w:t>5. Резолюцію про виключення члена з Товариства приймають Загальні збори членів.</w:t>
      </w:r>
    </w:p>
    <w:p>
      <w:r>
        <w:t>6. Резолюція Загальних зборів членів щодо виключення члена є остаточною.</w:t>
      </w:r>
    </w:p>
    <w:p>
      <w:r>
        <w:t>7. Члени Товариства зобов'язані регулярно сплачувати членські внески, розмір та правила сплати яких встановлюють Загальні збори членів.</w:t>
      </w:r>
    </w:p>
    <w:p>
      <w:pPr>
        <w:jc w:val="center"/>
      </w:pPr>
      <w:r>
        <w:rPr>
          <w:b/>
        </w:rPr>
        <w:t>§ 5</w:t>
      </w:r>
    </w:p>
    <w:p>
      <w:r>
        <w:t>1. Органами управління Товариства є:</w:t>
        <w:br/>
        <w:t xml:space="preserve">   a) Загальні збори членів (Walne Zebranie Członków),</w:t>
        <w:br/>
        <w:t xml:space="preserve">   b) Представник (Przedstawiciel).</w:t>
      </w:r>
    </w:p>
    <w:p>
      <w:r>
        <w:t>2. Найвищим органом управління Товариства є Загальні збори членів, до складу яких входять усі члени Товариства.</w:t>
      </w:r>
    </w:p>
    <w:p>
      <w:r>
        <w:t>3. Загальні збори членів можуть бути черговими або позачерговими.</w:t>
      </w:r>
    </w:p>
    <w:p>
      <w:r>
        <w:t>4. Чергові Загальні збори скликаються Представником щонайменше один раз на рік.</w:t>
      </w:r>
    </w:p>
    <w:p>
      <w:r>
        <w:t>5. Позачергові Загальні збори скликає Представник:</w:t>
        <w:br/>
        <w:t xml:space="preserve">   a) за власною ініціативою,</w:t>
        <w:br/>
        <w:t xml:space="preserve">   b) на письмову, обґрунтовану вимогу щонайменше 1/3 членів Товариства.</w:t>
      </w:r>
    </w:p>
    <w:p>
      <w:r>
        <w:t>6. Позачергові Загальні збори мають бути скликані протягом 30 днів з дати подання вимоги.</w:t>
      </w:r>
    </w:p>
    <w:p>
      <w:r>
        <w:t>7. Позачергові Загальні збори розглядають виключно ті питання, для вирішення яких вони були скликані.</w:t>
      </w:r>
    </w:p>
    <w:p>
      <w:pPr>
        <w:jc w:val="center"/>
      </w:pPr>
      <w:r>
        <w:rPr>
          <w:b/>
        </w:rPr>
        <w:t>§ 6</w:t>
      </w:r>
    </w:p>
    <w:p>
      <w:r>
        <w:t>1. Загальні збори членів мають право приймати рішення з усіх питань діяльності Товариства, за винятком питань, віднесених цим Регламентом до компетенції Представника.</w:t>
      </w:r>
    </w:p>
    <w:p>
      <w:r>
        <w:t>2. До виключної компетенції Загальних зборів членів належить, зокрема:</w:t>
        <w:br/>
        <w:t xml:space="preserve">   a) вибір та відкликання Представника Товариства,</w:t>
        <w:br/>
        <w:t xml:space="preserve">   b) прийняття та затвердження змін до Регламенту,</w:t>
        <w:br/>
        <w:t xml:space="preserve">   c) контроль за діями Представника,</w:t>
        <w:br/>
        <w:t xml:space="preserve">   d) ухвалення основних напрямків та програм діяльності Товариства,</w:t>
        <w:br/>
        <w:t xml:space="preserve">   e) виключення членів з Товариства,</w:t>
        <w:br/>
        <w:t xml:space="preserve">   f) прийняття резолюції про ліквідацію Товариства,</w:t>
        <w:br/>
        <w:t xml:space="preserve">   g) встановлення розміру членських внесків,</w:t>
        <w:br/>
        <w:t xml:space="preserve">   h) розгляд скарг членів Товариства на діяльність Представника.</w:t>
      </w:r>
    </w:p>
    <w:p>
      <w:r>
        <w:t>3. Резолюції Загальних зборів членів, якщо регламент не передбачає іншого, приймаються простою більшістю голосів, за присутності:</w:t>
        <w:br/>
        <w:t xml:space="preserve">   a) у перший термін – щонайменше половини членів, які мають право голосу,</w:t>
        <w:br/>
        <w:t xml:space="preserve">   b) у другий термін – призначений у той самий день, на 30 хвилин пізніше першого терміну – незалежно від кількості осіб, які мають право голосу.</w:t>
      </w:r>
    </w:p>
    <w:p>
      <w:r>
        <w:t>4. Резолюція про дострокове відкликання Представника (до закінчення терміну його повноважень) вимагає згоди щонайменше 3/4 голосів усіх членів Товариства.</w:t>
      </w:r>
    </w:p>
    <w:p>
      <w:pPr>
        <w:jc w:val="center"/>
      </w:pPr>
      <w:r>
        <w:rPr>
          <w:b/>
        </w:rPr>
        <w:t>§ 7</w:t>
      </w:r>
    </w:p>
    <w:p>
      <w:r>
        <w:t>1. Товариство представляє Представник.</w:t>
      </w:r>
    </w:p>
    <w:p>
      <w:r>
        <w:t>2. Представник Товариства обирається Загальними зборами членів з числа членів Товариства, які висловили згоду балотуватися.</w:t>
      </w:r>
    </w:p>
    <w:p>
      <w:r>
        <w:t>3. Каденція (строк повноважень) Представника Товариства триває 3 роки.</w:t>
      </w:r>
    </w:p>
    <w:p>
      <w:r>
        <w:t>4. До компетенції Представника належить:</w:t>
        <w:br/>
        <w:t xml:space="preserve">   a) прийняття членів до Товариства,</w:t>
        <w:br/>
        <w:t xml:space="preserve">   b) виконання резолюцій Загальних зборів членів,</w:t>
        <w:br/>
        <w:t xml:space="preserve">   c) представництво Товариства назовні та діяльність від його імені,</w:t>
        <w:br/>
        <w:t xml:space="preserve">   d) скликання Загальних зборів членів.</w:t>
      </w:r>
    </w:p>
    <w:p>
      <w:pPr>
        <w:jc w:val="center"/>
      </w:pPr>
      <w:r>
        <w:rPr>
          <w:b/>
        </w:rPr>
        <w:t>§ 8</w:t>
      </w:r>
    </w:p>
    <w:p>
      <w:r>
        <w:t>Товариство отримує кошти на діяльність з членських внесків, пожертвувань, спадщини, заповітів, доходів від майна Товариства, публічних зборів (ofiarność publiczna) та грантів (дотацій).</w:t>
      </w:r>
    </w:p>
    <w:p>
      <w:pPr>
        <w:jc w:val="center"/>
      </w:pPr>
      <w:r>
        <w:rPr>
          <w:b/>
        </w:rPr>
        <w:t>§ 9</w:t>
      </w:r>
    </w:p>
    <w:p>
      <w:r>
        <w:t>1. Фінансовими ресурсами Товариства управляє Представник, відповідно до чинного законодавства, цього Регламенту та резолюцій Загальних зборів членів.</w:t>
      </w:r>
    </w:p>
    <w:p>
      <w:r>
        <w:t>2. Здійснення Представником дій, що виходять за межі звичайного управління (zwykły zarząd), вимагає попередньої згоди всіх членів Товариства та надання ними довіреності на здійснення цих дій.</w:t>
      </w:r>
    </w:p>
    <w:p>
      <w:r>
        <w:t>3. Діями, що виходять за межі звичайного управління, є:</w:t>
        <w:br/>
        <w:t xml:space="preserve">   a) придбання та відчуження нерухомості або права довічного користування,</w:t>
        <w:br/>
        <w:t xml:space="preserve">   b) встановлення обмеженого речового права,</w:t>
        <w:br/>
        <w:t xml:space="preserve">   c) укладення кредитного договору або договору позики,</w:t>
        <w:br/>
        <w:t xml:space="preserve">   d) прийняття боргу, визнання боргу, звільнення від боргу, приєднання до боргу, укладення договору поруки або іншого подібного договору,</w:t>
        <w:br/>
        <w:t xml:space="preserve">   e) взяття інших зобов'язань, що перевищують вартість 10 000 злотих.</w:t>
      </w:r>
    </w:p>
    <w:p>
      <w:pPr>
        <w:jc w:val="center"/>
      </w:pPr>
      <w:r>
        <w:rPr>
          <w:b/>
        </w:rPr>
        <w:t>§ 10</w:t>
      </w:r>
    </w:p>
    <w:p>
      <w:r>
        <w:t>Рішення про зміну регламенту та ліквідацію товариства приймають Загальні збори членів більшістю не менше ніж 2/3 голосів за присутності не менше половини членів, які мають право голосу. Приймаючи резолюцію про ліквідацію Товариства, Загальні збори членів визначають призначення залишкових майнових ресурсів Товариства.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