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Step 3-C-1 — TabNet 어텐션 × SHAP 융합 컨텍스트 (TabNet 통합)</w:t>
      </w:r>
    </w:p>
    <w:p>
      <w:r>
        <w:rPr>
          <w:rFonts w:ascii="Malgun Gothic" w:hAnsi="Malgun Gothic" w:eastAsia="Malgun Gothic"/>
          <w:b w:val="0"/>
          <w:sz w:val="22"/>
        </w:rPr>
        <w:t>기존 4단계 파이프라인의 컨텍스트 빌더 단계에 TabNet의 instance-level 어텐션 마스크(M_explain)를 통합. SHAP top-k와 Attention top-k를 agreed/shap_only/attention_only 3그룹으로 분류해 LLM에 의미 라벨로 전달. TabNet이 단순 비교 모델에서 본 메커니즘의 핵심 구성 요소로 통합됨.</w:t>
      </w:r>
    </w:p>
    <w:p>
      <w:pPr>
        <w:pStyle w:val="Heading2"/>
      </w:pPr>
      <w:r>
        <w:rPr>
          <w:rFonts w:ascii="Malgun Gothic" w:hAnsi="Malgun Gothic"/>
          <w:sz w:val="26"/>
        </w:rPr>
        <w:t>11.1 Agreement-aware 융합 메커니즘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agreed_drivers: SHAP top-10과 Attention top-5의 교집합 (두 모델 동의 강한 신호)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shap_only_drivers: SHAP만 본 변수 (부호 + 기여도 보존)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attention_only_drivers: TabNet attention만 본 변수 (sparse, 부호 없음)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프롬프트에 그룹 라벨 의미 명시 → agreed를 주요 사유로, 보완 그룹은 별도 표현</w:t>
      </w:r>
    </w:p>
    <w:p>
      <w:pPr>
        <w:pStyle w:val="Heading2"/>
      </w:pPr>
      <w:r>
        <w:rPr>
          <w:rFonts w:ascii="Malgun Gothic" w:hAnsi="Malgun Gothic"/>
          <w:sz w:val="26"/>
        </w:rPr>
        <w:t>11.2 Agreement 통계 (n=100)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그룹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평균 변수 수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agreed_drivers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2.12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두 모델 동의 강한 신호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6.98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SHAP만 (부호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attention_only_drivers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2.06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TabNet만 (부호 없음, sparse)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n_agreed 분포: 0개=1, 1개=8, 2개=69, 3개=22, 4개+=0 (100 인스턴스)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모델이 거의 항상 부분적으로만 겹침 — Day 4의 어텐션-SHAP global ρ=0.117 분석과 일치하는 instance-level 패턴</w:t>
      </w:r>
    </w:p>
    <w:p>
      <w:pPr>
        <w:pStyle w:val="Heading2"/>
      </w:pPr>
      <w:r>
        <w:rPr>
          <w:rFonts w:ascii="Malgun Gothic" w:hAnsi="Malgun Gothic"/>
          <w:sz w:val="26"/>
        </w:rPr>
        <w:t>11.3 평가 결과 (n=30 each, judge=Claude)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Sensitive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Both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+0.07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Halluc 0/30 — 양 LLM × 양 mode 모두 환각 차단 유지 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 +0.67~+0.80 — 두 해석 신호의 상보성이 더 완결한 설명 생성 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Factual ≈ 유지, Sensitive 5.0 만점 유지 — 사실성·민감도 손상 없음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4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usion_vs_shapon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11-1. SHAP-only vs Fusion 비교 (양 LLM × 4 메트릭)</w:t>
      </w:r>
    </w:p>
    <w:p>
      <w:pPr>
        <w:pStyle w:val="Heading2"/>
      </w:pPr>
      <w:r>
        <w:rPr>
          <w:rFonts w:ascii="Malgun Gothic" w:hAnsi="Malgun Gothic"/>
          <w:sz w:val="26"/>
        </w:rPr>
        <w:t>11.4 Step 3-C-1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TabNet이 비교 모델 → 메커니즘 핵심으로 격상 (논문 제목과 본문 일치)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신호의 부분 일관 + 부분 상보를 LLM에 명시 노출하는 agreement-aware 컨텍스트 제안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 메커니즘 견고 + 완결성 큰 향상의 동시 달성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한계는 다음 절(11.5/Step 3-C-2)에서 NLI로 직접 입증</w:t>
      </w:r>
    </w:p>
    <w:p>
      <w:pPr>
        <w:pStyle w:val="Heading2"/>
      </w:pPr>
      <w:r>
        <w:rPr>
          <w:rFonts w:ascii="Malgun Gothic" w:hAnsi="Malgun Gothic"/>
          <w:sz w:val="26"/>
        </w:rPr>
        <w:t>11.5 Step 3-C-2 — NLI 기반 Faithfulness로 평가 객관성 보강</w:t>
      </w:r>
    </w:p>
    <w:p>
      <w:r>
        <w:rPr>
          <w:rFonts w:ascii="Malgun Gothic" w:hAnsi="Malgun Gothic" w:eastAsia="Malgun Gothic"/>
          <w:b w:val="0"/>
          <w:sz w:val="22"/>
        </w:rPr>
        <w:t>Step 3-C-1의 룰 sign_match 하락(Anthropic 0.87→0.65, Gemini 0.94→0.77)이 키워드 한계 때문임을 의미적 측정으로 입증하기 위해, 다국어 NLI 모델(KLUE 학습 데이터 100M+ 포함 mDeBERTa-v3-xnli)을 사용해 자동 의미 함의 평가를 추가했다.</w:t>
      </w:r>
    </w:p>
    <w:p>
      <w:r>
        <w:rPr>
          <w:rFonts w:ascii="Malgun Gothic" w:hAnsi="Malgun Gothic" w:eastAsia="Malgun Gothic"/>
          <w:b w:val="0"/>
          <w:sz w:val="22"/>
        </w:rPr>
        <w:t>원리: 컨텍스트 facts를 자연어 premise로 변환, LLM 설명을 문장 단위로 split 후 각 (premise, hypothesis) 쌍에 대해 entailment / neutral / contradiction 확률 계산. 인스턴스별 entailment_rate 평균.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+0.212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0.509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+0.115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0.191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-0.175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-0.140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0.048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0.181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-0.004 ≈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entailment 향상 + contradiction 감소 — fusion이 의미적으로 더 충실함을 확정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하락은 키워드 셋의 한계임이 NLI로 직접 입증 — fusion에서 LLM이 "증가시키는", "위험" 등 다양한 표현 사용해도 의미적 함의는 정확히 유지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3-tier 평가 체계 완성: Rules(키워드) + G-Eval(LLM judge) + NLI(의미 함의). 본 논문 약점 1번(LLM 평가 객관성) 부분 해소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440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nli_vs_ru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11-2. NLI Entailment / Contradiction / Rule sign_match 3-패널 비교</w:t>
      </w:r>
    </w:p>
    <w:p>
      <w:pPr>
        <w:pStyle w:val="Heading2"/>
      </w:pPr>
      <w:r>
        <w:rPr>
          <w:rFonts w:ascii="Malgun Gothic" w:hAnsi="Malgun Gothic"/>
          <w:sz w:val="26"/>
        </w:rPr>
        <w:t>11.6 Step 3-C-2-f — Cross-Judge G-Eval 검증 (보너스)</w:t>
      </w:r>
    </w:p>
    <w:p>
      <w:r>
        <w:rPr>
          <w:rFonts w:ascii="Malgun Gothic" w:hAnsi="Malgun Gothic" w:eastAsia="Malgun Gothic"/>
          <w:b w:val="0"/>
          <w:sz w:val="22"/>
        </w:rPr>
        <w:t>Step 3-C-1/3-C-2의 G-Eval 결과는 Claude judge 단독으로 측정. Step 2-A 패턴의 양방향 cross-LLM judge를 fusion 평가에도 적용해 judge 종속성을 검증.</w:t>
      </w:r>
    </w:p>
    <w:p>
      <w:r>
        <w:rPr>
          <w:rFonts w:ascii="Malgun Gothic" w:hAnsi="Malgun Gothic" w:eastAsia="Malgun Gothic"/>
          <w:b w:val="0"/>
          <w:sz w:val="22"/>
        </w:rPr>
        <w:t>동일 4 그룹(SHAP-only/Fusion × Anthropic/Gemini target, n=30 each)을 Gemini judge로 재평가. Gemini API 503 과부하로 retry 로직 강화 (30s/60s/120s/240s 백오프). 총 transient retry 40회, fail 0회, 모든 120 호출 회복.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Claude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Gemini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+0.900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+1.100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+0.467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Completeness: 양 judge에서 모두 큰 향상 (Claude +0.67/+0.80, Gemini +0.90/+1.10) — fusion 효과가 judge 종속 아님 명확히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target Factual: Claude judge -0.13 (사실상 동등) vs Gemini judge +0.47 (명확한 향상). 차이 0.60 — **단일 judge였으면 잘못된 결론 위험**, Cross-LLM judge의 가치 직접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Sensitive Leak: 양 judge × 양 mode 모두 5.0/5.0 만점 — 마스킹 정책의 LLM 종속성 없음 다층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Self-bias 패턴 약함 — Gemini judge가 self/cross 모두에 더 큰 Δ를 부여하는 패턴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30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ross_judge_ge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11-3. Cross-Judge G-Eval (Claude + Gemini judge × SHAP-only/Fusion)</w:t>
      </w:r>
    </w:p>
    <w:p>
      <w:pPr>
        <w:pStyle w:val="Heading1"/>
      </w:pPr>
      <w:r>
        <w:rPr>
          <w:rFonts w:ascii="Malgun Gothic" w:hAnsi="Malgun Gothic"/>
          <w:sz w:val="32"/>
        </w:rPr>
        <w:t>12. Step 5-A — Fairness-aware Learning</w:t>
      </w:r>
    </w:p>
    <w:p>
      <w:r>
        <w:rPr>
          <w:rFonts w:ascii="Malgun Gothic" w:hAnsi="Malgun Gothic" w:eastAsia="Malgun Gothic"/>
          <w:b w:val="0"/>
          <w:sz w:val="22"/>
        </w:rPr>
        <w:t>Day 5의 진단(8/8 케이스 4/5 rule 위반)에 대응하는 정식 mitigation 단계. 변수 ablation에서 한 단계 나아간 sample-weight 기반 Reweighing(Kamiran &amp; Calders 2012)과 reduction-based Fairlearn ExponentiatedGradient(DP/EO constraint)를 비교.</w:t>
      </w:r>
    </w:p>
    <w:p>
      <w:pPr>
        <w:pStyle w:val="Heading2"/>
      </w:pPr>
      <w:r>
        <w:rPr>
          <w:rFonts w:ascii="Malgun Gothic" w:hAnsi="Malgun Gothic"/>
          <w:sz w:val="26"/>
        </w:rPr>
        <w:t>12.1 방법론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Reweighing: w(s,y) = P(S=s)·P(Y=y)/P(S=s,Y=y). 공정 분포 기대값과 실제 결합분포 비율로 sample 가중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ExpGrad: max_iter=30, inner XGBoost (n_estimators=200, max_depth=5), DemographicParity 또는 EqualizedOdds constraint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보호속성: GENDER (CODE_GENDER_F/M), AGE (DAYS_BIRTH &lt; median으로 binary)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데이터: baseline (214 features) + Step 3-B aux (1161 features) 비교</w:t>
      </w:r>
    </w:p>
    <w:p>
      <w:pPr>
        <w:pStyle w:val="Heading2"/>
      </w:pPr>
      <w:r>
        <w:rPr>
          <w:rFonts w:ascii="Malgun Gothic" w:hAnsi="Malgun Gothic"/>
          <w:sz w:val="26"/>
        </w:rPr>
        <w:t>12.2 Reweighing 결과 (★ 4/4 케이스 4/5 rule 통과)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데이터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보호속성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변화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4/5 rule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baseline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−0.0024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0.622 → 0.902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baseline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−0.0038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0.557 → 0.901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aux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+0.0028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0.643 → 0.867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aux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+0.0016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0.567 → 0.833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0.061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통과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baseline 데이터: AUROC 손실 -0.003 미만, DI 0.9+ — 매우 작은 trade-off로 4/5 통과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★★ aux 데이터: AUROC 오히려 +0.002~+0.003 상승 — "공정성에는 항상 비용이 있다"는 통념을 뒤집는 발견. 보조 테이블의 풍부한 정보가 sample weight 변화로 인한 분포 shift를 안정적으로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AGE의 효과적 mitigation — Day 5의 'AGE는 proxy로 ablation 효과 미미' 결론과 다름. 정식 fairness-aware 학습이 proxy effect를 극복</w:t>
      </w:r>
    </w:p>
    <w:p>
      <w:pPr>
        <w:pStyle w:val="Heading2"/>
      </w:pPr>
      <w:r>
        <w:rPr>
          <w:rFonts w:ascii="Malgun Gothic" w:hAnsi="Malgun Gothic"/>
          <w:sz w:val="26"/>
        </w:rPr>
        <w:t>12.3 Fairlearn ExpGrad 비교 (baseline 데이터)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보호속성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4/5 rule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Reweighing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0.902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0.038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DP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0.7088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0.775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0.092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EO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0.6788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0.659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Reweighing ★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0.7567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0.041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DP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0.6856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0.990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0.003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✅ (큰 AUROC 손실)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Fairlearn EO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0.7225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0.150 ⚠️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❌ 안티 패턴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DP: 강한 공정성 제약 → AUROC -0.07~-0.075 손실. AGE에서 DI 0.99까지 가지만 비용 큼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Fairlearn EO: EO에만 집중하니 selection rate 자체엔 제약 X → DP 오히려 악화 (AGE에서 DI 0.150). 본 데이터의 4/5 rule 통과엔 부적합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→ 본 데이터에는 Reweighing이 압도적으로 효율적임을 정량 입증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268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fairness_tradeof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12-1. AUROC vs Disparate Impact (4/5 rule = DI ≥ 0.8)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27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mitigation_ba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2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12-2. Mitigation 방법 × 데이터 × 보호속성 (DI/DP/AUROC)</w:t>
      </w:r>
    </w:p>
    <w:p>
      <w:pPr>
        <w:pStyle w:val="Heading2"/>
      </w:pPr>
      <w:r>
        <w:rPr>
          <w:rFonts w:ascii="Malgun Gothic" w:hAnsi="Malgun Gothic"/>
          <w:sz w:val="26"/>
        </w:rPr>
        <w:t>12.4 Step 5-A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Reweighing 4/4 통과 — Day 5의 8/8 위반 진단을 단일 메커니즘으로 해소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aux 데이터에서 trade-off 사라짐 — fairness mitigation이 win-win 가능함을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 5 'AGE proxy' 결론 갱신 — 정식 mitigation은 proxy variable에서도 효과적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약점 #4 (Fairness mitigation) 해소</w:t>
      </w:r>
    </w:p>
    <w:p>
      <w:pPr>
        <w:pStyle w:val="Heading1"/>
      </w:pPr>
      <w:r>
        <w:rPr>
          <w:rFonts w:ascii="Malgun Gothic" w:hAnsi="Malgun Gothic"/>
          <w:sz w:val="32"/>
        </w:rPr>
        <w:t>13. Step 5-B — Generic RAG Baseline (4-way 비교)</w:t>
      </w:r>
    </w:p>
    <w:p>
      <w:r>
        <w:rPr>
          <w:rFonts w:ascii="Malgun Gothic" w:hAnsi="Malgun Gothic" w:eastAsia="Malgun Gothic"/>
          <w:b w:val="0"/>
          <w:sz w:val="22"/>
        </w:rPr>
        <w:t>Step 1의 Counterfactual baseline("Halluc 0% vs no-SHAP 45.5%")에 대한 가능한 반박 — "정보가 적어서 환각하는 게 trivial 아닌가" — 을 직접 다룸. Generic RAG (raw features + 도메인 지식 chunks + 동일 hard constraints, SHAP context만 빼고)와 비교해 SHAP-RAG의 진짜 차별성을 정량 측정.</w:t>
      </w:r>
    </w:p>
    <w:p>
      <w:pPr>
        <w:pStyle w:val="Heading2"/>
      </w:pPr>
      <w:r>
        <w:rPr>
          <w:rFonts w:ascii="Malgun Gothic" w:hAnsi="Malgun Gothic"/>
          <w:sz w:val="26"/>
        </w:rPr>
        <w:t>13.1 4-mode 설계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Hard constraints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도메인 지식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 context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no_shap (Step 1)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약함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generic_rag (Step 5-B, NEW)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강함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O 7 chunks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shaponly (Step 1/2-A)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강함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fusion (Step 3-C-1)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강함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O + Attention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  <w:t>Knowledge chunks 7개: 신용평가 핵심 변수, 부도 위험 일반 원리, threshold 의미, 민감 변수 정책, 금융 용어 가이드, hard constraints, 출력 형식</w:t>
      </w:r>
    </w:p>
    <w:p>
      <w:pPr>
        <w:pStyle w:val="Heading2"/>
      </w:pPr>
      <w:r>
        <w:rPr>
          <w:rFonts w:ascii="Malgun Gothic" w:hAnsi="Malgun Gothic"/>
          <w:sz w:val="26"/>
        </w:rPr>
        <w:t>13.2 결과 — 핵심 메트릭 (n=30, no_shap n=2)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 / 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no_shap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generic_rag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NLI Entailment ★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NLI Entailment ★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0.429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0.509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0.624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NLI Contradiction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0.225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0.191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NLI Contradiction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Compl.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4.967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Compl.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4.667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3.500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 (A/G)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5.0/5.0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5.0/5.0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5.0/5.0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5.0/5.0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(A)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0.588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0.727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0.903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(G)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0.694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0.861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NLI Entailment 4-mode 일관 4단계 차이 (양 LLM): no_shap &lt; generic_rag &lt; shaponly &lt;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환각 차단은 Generic RAG로 모방 가능 — Counterfactual의 trivial 반박 부분 인정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그러나 의미적 충실성 + 값 정확 인용은 SHAP-RAG/Fusion이 압도 — SHAP context의 진짜 가치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흥미로운 발견: Generic RAG가 G-Eval Completeness에서 SHAP-only보다 약간 더 높음 (Anthropic 4.83 vs 4.30) — 도메인 지식 chunks가 LLM에게 더 풍부한 컨텍스트 제공. 그러나 Fusion이 모든 메트릭에서 최고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622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eneric_rag_3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2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13-1. 4-mode 비교 (Halluc / NLI / G-Eval Completeness × 양 LLM)</w:t>
      </w:r>
    </w:p>
    <w:p>
      <w:pPr>
        <w:pStyle w:val="Heading2"/>
      </w:pPr>
      <w:r>
        <w:rPr>
          <w:rFonts w:ascii="Malgun Gothic" w:hAnsi="Malgun Gothic"/>
          <w:sz w:val="26"/>
        </w:rPr>
        <w:t>13.3 본 연구 차별성 재정의</w:t>
      </w:r>
    </w:p>
    <w:p>
      <w:r>
        <w:rPr>
          <w:rFonts w:ascii="Malgun Gothic" w:hAnsi="Malgun Gothic" w:eastAsia="Malgun Gothic"/>
          <w:b w:val="0"/>
          <w:sz w:val="22"/>
        </w:rPr>
        <w:t>Step 1의 메시지 "환각 0% vs 45.5%"는 강력하지만 trivial 반박 가능. Step 5-B 후 본 연구의 진짜 메시지는: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차단의 결정 요인 = hard constraints + 도메인 지식 (SHAP 자체보다)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본 연구의 진짜 차별성 = 의미적 충실성(NLI Entailment) + 값 정확 인용 (val_match_rate)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Generic RAG는 "환각 차단"은 모방하지만 fact-grounded 정확성은 SHAP/Fusion 컨텍스트 없이 도달 불가</w:t>
      </w:r>
    </w:p>
    <w:p>
      <w:pPr>
        <w:pStyle w:val="Heading2"/>
      </w:pPr>
      <w:r>
        <w:rPr>
          <w:rFonts w:ascii="Malgun Gothic" w:hAnsi="Malgun Gothic"/>
          <w:sz w:val="26"/>
        </w:rPr>
        <w:t>13.4 Step 5-B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★ 약점 #3 (Counterfactual baseline 정당성) 정량 해소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Honest reporting — 환각 차단의 trivial 반박 부분 인정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연구 차별성 재정의 — 의미적 충실성 + 값 정확 인용으로 메시지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흥미로운 발견 — Generic RAG가 G-Eval Completeness에서 SHAP-only보다 높지만 NLI/val_match는 Fusion이 압도</w:t>
      </w:r>
    </w:p>
    <w:p>
      <w:pPr>
        <w:pStyle w:val="Heading1"/>
      </w:pPr>
      <w:r>
        <w:rPr>
          <w:rFonts w:ascii="Malgun Gothic" w:hAnsi="Malgun Gothic"/>
          <w:sz w:val="32"/>
        </w:rPr>
        <w:t>14.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IRB 간소판, 5점 리커트 척도, Cohen's κ 신뢰도 측정 ★ 1순위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UCI German Credit — 데이터 다양성, 일반화 입증 ★ 2순위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no_shap 표본 확장 (현재 n=2 in 30 idx) — 통계적 견고성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Adversarial Debiasing (TabNet head) — Reweighing 보완, AGE 추가 개선 시도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Fusion 표본 30 → 100 확장 + counterfactual 결합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3-way ablation: SHAP-only vs Attention-only vs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native NLI 모델 추가 검증 (현재는 다국어 NLI; torch 환경 정비 후 KLUE-roberta-NLI)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Gemini judge로 양방향 G-Eval cross-validation — Step 3-C-2-f에서 진행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Fairness-aware 학습 — Step 5-A에서 Reweighing 4/4 통과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Generic RAG baseline — Step 5-B에서 약점 #3 정량 해소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