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Step 3-C-1 — TabNet 어텐션 × SHAP 융합 컨텍스트 (TabNet 통합)</w:t>
      </w:r>
    </w:p>
    <w:p>
      <w:r>
        <w:rPr>
          <w:rFonts w:ascii="Malgun Gothic" w:hAnsi="Malgun Gothic" w:eastAsia="Malgun Gothic"/>
          <w:b w:val="0"/>
          <w:sz w:val="22"/>
        </w:rPr>
        <w:t>기존 4단계 파이프라인의 컨텍스트 빌더 단계에 TabNet의 instance-level 어텐션 마스크(M_explain)를 통합. SHAP top-k와 Attention top-k를 agreed/shap_only/attention_only 3그룹으로 분류해 LLM에 의미 라벨로 전달. TabNet이 단순 비교 모델에서 본 메커니즘의 핵심 구성 요소로 통합됨.</w:t>
      </w:r>
    </w:p>
    <w:p>
      <w:pPr>
        <w:pStyle w:val="Heading2"/>
      </w:pPr>
      <w:r>
        <w:rPr>
          <w:rFonts w:ascii="Malgun Gothic" w:hAnsi="Malgun Gothic"/>
          <w:sz w:val="26"/>
        </w:rPr>
        <w:t>11.1 Agreement-aware 융합 메커니즘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agreed_drivers: SHAP top-10과 Attention top-5의 교집합 (두 모델 동의 강한 신호)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shap_only_drivers: SHAP만 본 변수 (부호 + 기여도 보존)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attention_only_drivers: TabNet attention만 본 변수 (sparse, 부호 없음)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프롬프트에 그룹 라벨 의미 명시 → agreed를 주요 사유로, 보완 그룹은 별도 표현</w:t>
      </w:r>
    </w:p>
    <w:p>
      <w:pPr>
        <w:pStyle w:val="Heading2"/>
      </w:pPr>
      <w:r>
        <w:rPr>
          <w:rFonts w:ascii="Malgun Gothic" w:hAnsi="Malgun Gothic"/>
          <w:sz w:val="26"/>
        </w:rPr>
        <w:t>11.2 Agreement 통계 (n=100)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그룹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평균 변수 수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agreed_drivers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2.12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두 모델 동의 강한 신호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6.98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SHAP만 (부호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attention_only_drivers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2.06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TabNet만 (부호 없음, sparse)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n_agreed 분포: 0개=1, 1개=8, 2개=69, 3개=22, 4개+=0 (100 인스턴스)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모델이 거의 항상 부분적으로만 겹침 — Day 4의 어텐션-SHAP global ρ=0.117 분석과 일치하는 instance-level 패턴</w:t>
      </w:r>
    </w:p>
    <w:p>
      <w:pPr>
        <w:pStyle w:val="Heading2"/>
      </w:pPr>
      <w:r>
        <w:rPr>
          <w:rFonts w:ascii="Malgun Gothic" w:hAnsi="Malgun Gothic"/>
          <w:sz w:val="26"/>
        </w:rPr>
        <w:t>11.3 평가 결과 (n=30 each, judge=Claude)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Sensitive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Both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+0.07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Halluc 0/30 — 양 LLM × 양 mode 모두 환각 차단 유지 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 +0.67~+0.80 — 두 해석 신호의 상보성이 더 완결한 설명 생성 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Factual ≈ 유지, Sensitive 5.0 만점 유지 — 사실성·민감도 손상 없음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4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usion_vs_shapon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11-1. SHAP-only vs Fusion 비교 (양 LLM × 4 메트릭)</w:t>
      </w:r>
    </w:p>
    <w:p>
      <w:pPr>
        <w:pStyle w:val="Heading2"/>
      </w:pPr>
      <w:r>
        <w:rPr>
          <w:rFonts w:ascii="Malgun Gothic" w:hAnsi="Malgun Gothic"/>
          <w:sz w:val="26"/>
        </w:rPr>
        <w:t>11.4 Step 3-C-1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TabNet이 비교 모델 → 메커니즘 핵심으로 격상 (논문 제목과 본문 일치)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신호의 부분 일관 + 부분 상보를 LLM에 명시 노출하는 agreement-aware 컨텍스트 제안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 메커니즘 견고 + 완결성 큰 향상의 동시 달성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한계 — LLM이 fusion에서 다양한 표현 사용 → future work에서 NLI 기반 평가로 보강</w:t>
      </w:r>
    </w:p>
    <w:p>
      <w:pPr>
        <w:pStyle w:val="Heading1"/>
      </w:pPr>
      <w:r>
        <w:rPr>
          <w:rFonts w:ascii="Malgun Gothic" w:hAnsi="Malgun Gothic"/>
          <w:sz w:val="32"/>
        </w:rPr>
        <w:t>12.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judge로 양방향 cross-validation (현재 Claude judge 단일)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Fusion 표본 30 → 100 확장 + counterfactual 결합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3-way ablation: SHAP-only vs Attention-only vs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NLI 기반 Faithfulness — 룰의 키워드 sensitivity 한계 해소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5점 리커트 척도, Cohen's κ 신뢰도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