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jc w:val="left"/>
      </w:pPr>
      <w:r>
        <w:rPr>
          <w:rFonts w:ascii="Times New Roman" w:hAnsi="Times New Roman" w:eastAsia="맑은 고딕"/>
          <w:b w:val="0"/>
          <w:sz w:val="22"/>
        </w:rPr>
      </w:r>
    </w:p>
    <w:p>
      <w:pPr>
        <w:spacing w:line="480" w:lineRule="auto" w:before="0" w:after="0"/>
        <w:jc w:val="left"/>
      </w:pPr>
      <w:r>
        <w:rPr>
          <w:rFonts w:ascii="Times New Roman" w:hAnsi="Times New Roman" w:eastAsia="맑은 고딕"/>
          <w:b w:val="0"/>
          <w:sz w:val="22"/>
        </w:rPr>
      </w:r>
    </w:p>
    <w:p>
      <w:pPr>
        <w:spacing w:line="480" w:lineRule="auto" w:before="0" w:after="0"/>
        <w:jc w:val="left"/>
      </w:pPr>
      <w:r>
        <w:rPr>
          <w:rFonts w:ascii="Times New Roman" w:hAnsi="Times New Roman" w:eastAsia="맑은 고딕"/>
          <w:b w:val="0"/>
          <w:sz w:val="22"/>
        </w:rPr>
      </w:r>
    </w:p>
    <w:p>
      <w:pPr>
        <w:spacing w:line="480" w:lineRule="auto" w:before="0" w:after="0"/>
        <w:jc w:val="left"/>
      </w:pPr>
      <w:r>
        <w:rPr>
          <w:rFonts w:ascii="Times New Roman" w:hAnsi="Times New Roman" w:eastAsia="맑은 고딕"/>
          <w:b w:val="0"/>
          <w:sz w:val="22"/>
        </w:rPr>
      </w:r>
    </w:p>
    <w:p>
      <w:pPr>
        <w:spacing w:line="480" w:lineRule="auto" w:before="0" w:after="0"/>
        <w:jc w:val="left"/>
      </w:pPr>
      <w:r>
        <w:rPr>
          <w:rFonts w:ascii="Times New Roman" w:hAnsi="Times New Roman" w:eastAsia="맑은 고딕"/>
          <w:b w:val="0"/>
          <w:sz w:val="22"/>
        </w:rPr>
      </w:r>
    </w:p>
    <w:p>
      <w:pPr>
        <w:spacing w:line="480" w:lineRule="auto" w:before="0" w:after="240"/>
        <w:jc w:val="center"/>
      </w:pPr>
      <w:r>
        <w:rPr>
          <w:rFonts w:ascii="Times New Roman" w:hAnsi="Times New Roman" w:eastAsia="맑은 고딕"/>
          <w:b/>
          <w:sz w:val="40"/>
        </w:rPr>
        <w:t>정형 데이터 특화 딥러닝(TabNet)과 거대언어모델(LLM) 기반 XAI-RAG를 활용한 설명 가능한 신용 평가 및 사용자 맞춤형 리포트 생성</w:t>
      </w:r>
    </w:p>
    <w:p>
      <w:pPr>
        <w:spacing w:line="480" w:lineRule="auto" w:before="0" w:after="480"/>
        <w:jc w:val="center"/>
      </w:pPr>
      <w:r>
        <w:rPr>
          <w:rFonts w:ascii="Times New Roman" w:hAnsi="Times New Roman" w:eastAsia="맑은 고딕"/>
          <w:b w:val="0"/>
          <w:sz w:val="28"/>
        </w:rPr>
        <w:t>어텐션-SHAP 융합 컨텍스트와 다중 평가 프레임워크 적용</w:t>
      </w:r>
    </w:p>
    <w:p>
      <w:pPr>
        <w:spacing w:line="480" w:lineRule="auto" w:before="0" w:after="0"/>
        <w:jc w:val="left"/>
      </w:pPr>
      <w:r>
        <w:rPr>
          <w:rFonts w:ascii="Times New Roman" w:hAnsi="Times New Roman" w:eastAsia="맑은 고딕"/>
          <w:b w:val="0"/>
          <w:sz w:val="22"/>
        </w:rPr>
      </w:r>
    </w:p>
    <w:p>
      <w:pPr>
        <w:spacing w:line="480" w:lineRule="auto" w:before="0" w:after="0"/>
        <w:jc w:val="left"/>
      </w:pPr>
      <w:r>
        <w:rPr>
          <w:rFonts w:ascii="Times New Roman" w:hAnsi="Times New Roman" w:eastAsia="맑은 고딕"/>
          <w:b w:val="0"/>
          <w:sz w:val="22"/>
        </w:rPr>
      </w:r>
    </w:p>
    <w:p>
      <w:pPr>
        <w:spacing w:line="480" w:lineRule="auto" w:before="0" w:after="0"/>
        <w:jc w:val="left"/>
      </w:pPr>
      <w:r>
        <w:rPr>
          <w:rFonts w:ascii="Times New Roman" w:hAnsi="Times New Roman" w:eastAsia="맑은 고딕"/>
          <w:b w:val="0"/>
          <w:sz w:val="22"/>
        </w:rPr>
      </w:r>
    </w:p>
    <w:p>
      <w:pPr>
        <w:spacing w:line="480" w:lineRule="auto" w:before="0" w:after="0"/>
        <w:jc w:val="left"/>
      </w:pPr>
      <w:r>
        <w:rPr>
          <w:rFonts w:ascii="Times New Roman" w:hAnsi="Times New Roman" w:eastAsia="맑은 고딕"/>
          <w:b w:val="0"/>
          <w:sz w:val="22"/>
        </w:rPr>
      </w:r>
    </w:p>
    <w:p>
      <w:pPr>
        <w:spacing w:line="480" w:lineRule="auto" w:before="0" w:after="0"/>
        <w:jc w:val="left"/>
      </w:pPr>
      <w:r>
        <w:rPr>
          <w:rFonts w:ascii="Times New Roman" w:hAnsi="Times New Roman" w:eastAsia="맑은 고딕"/>
          <w:b w:val="0"/>
          <w:sz w:val="22"/>
        </w:rPr>
      </w:r>
    </w:p>
    <w:p>
      <w:pPr>
        <w:spacing w:line="480" w:lineRule="auto" w:before="0" w:after="0"/>
        <w:jc w:val="left"/>
      </w:pPr>
      <w:r>
        <w:rPr>
          <w:rFonts w:ascii="Times New Roman" w:hAnsi="Times New Roman" w:eastAsia="맑은 고딕"/>
          <w:b w:val="0"/>
          <w:sz w:val="22"/>
        </w:rPr>
      </w:r>
    </w:p>
    <w:p>
      <w:pPr>
        <w:spacing w:line="480" w:lineRule="auto" w:before="0" w:after="0"/>
        <w:jc w:val="left"/>
      </w:pPr>
      <w:r>
        <w:rPr>
          <w:rFonts w:ascii="Times New Roman" w:hAnsi="Times New Roman" w:eastAsia="맑은 고딕"/>
          <w:b w:val="0"/>
          <w:sz w:val="22"/>
        </w:rPr>
      </w:r>
    </w:p>
    <w:p>
      <w:pPr>
        <w:spacing w:line="480" w:lineRule="auto" w:before="0" w:after="0"/>
        <w:jc w:val="left"/>
      </w:pPr>
      <w:r>
        <w:rPr>
          <w:rFonts w:ascii="Times New Roman" w:hAnsi="Times New Roman" w:eastAsia="맑은 고딕"/>
          <w:b w:val="0"/>
          <w:sz w:val="22"/>
        </w:rPr>
      </w:r>
    </w:p>
    <w:p>
      <w:pPr>
        <w:spacing w:line="480" w:lineRule="auto" w:before="0" w:after="480"/>
        <w:jc w:val="center"/>
      </w:pPr>
      <w:r>
        <w:rPr>
          <w:rFonts w:ascii="Times New Roman" w:hAnsi="Times New Roman" w:eastAsia="맑은 고딕"/>
          <w:b w:val="0"/>
          <w:sz w:val="28"/>
        </w:rPr>
        <w:t>2026년 6월</w:t>
      </w:r>
    </w:p>
    <w:p>
      <w:pPr>
        <w:spacing w:line="480" w:lineRule="auto" w:before="0" w:after="240"/>
        <w:jc w:val="center"/>
      </w:pPr>
      <w:r>
        <w:rPr>
          <w:rFonts w:ascii="Times New Roman" w:hAnsi="Times New Roman" w:eastAsia="맑은 고딕"/>
          <w:b w:val="0"/>
          <w:sz w:val="28"/>
        </w:rPr>
        <w:t>서강대학교 AI·SW대학원</w:t>
      </w:r>
    </w:p>
    <w:p>
      <w:pPr>
        <w:spacing w:line="480" w:lineRule="auto" w:before="0" w:after="240"/>
        <w:jc w:val="center"/>
      </w:pPr>
      <w:r>
        <w:rPr>
          <w:rFonts w:ascii="Times New Roman" w:hAnsi="Times New Roman" w:eastAsia="맑은 고딕"/>
          <w:b w:val="0"/>
          <w:sz w:val="28"/>
        </w:rPr>
        <w:t>데이터사이언스·인공지능 전공</w:t>
      </w:r>
    </w:p>
    <w:p>
      <w:pPr>
        <w:spacing w:line="480" w:lineRule="auto" w:before="0" w:after="480"/>
        <w:jc w:val="center"/>
      </w:pPr>
      <w:r>
        <w:rPr>
          <w:rFonts w:ascii="Times New Roman" w:hAnsi="Times New Roman" w:eastAsia="맑은 고딕"/>
          <w:b w:val="0"/>
          <w:sz w:val="28"/>
        </w:rPr>
        <w:t>오 현 택</w:t>
      </w:r>
    </w:p>
    <w:p>
      <w:r>
        <w:br w:type="page"/>
      </w:r>
    </w:p>
    <w:p>
      <w:pPr>
        <w:spacing w:line="480" w:lineRule="auto" w:before="0" w:after="0"/>
        <w:jc w:val="left"/>
      </w:pPr>
      <w:r>
        <w:rPr>
          <w:rFonts w:ascii="Times New Roman" w:hAnsi="Times New Roman" w:eastAsia="맑은 고딕"/>
          <w:b w:val="0"/>
          <w:sz w:val="22"/>
        </w:rPr>
      </w:r>
    </w:p>
    <w:p>
      <w:pPr>
        <w:spacing w:line="480" w:lineRule="auto" w:before="0" w:after="0"/>
        <w:jc w:val="left"/>
      </w:pPr>
      <w:r>
        <w:rPr>
          <w:rFonts w:ascii="Times New Roman" w:hAnsi="Times New Roman" w:eastAsia="맑은 고딕"/>
          <w:b w:val="0"/>
          <w:sz w:val="22"/>
        </w:rPr>
      </w:r>
    </w:p>
    <w:p>
      <w:pPr>
        <w:spacing w:line="480" w:lineRule="auto" w:before="0" w:after="0"/>
        <w:jc w:val="left"/>
      </w:pPr>
      <w:r>
        <w:rPr>
          <w:rFonts w:ascii="Times New Roman" w:hAnsi="Times New Roman" w:eastAsia="맑은 고딕"/>
          <w:b w:val="0"/>
          <w:sz w:val="22"/>
        </w:rPr>
      </w:r>
    </w:p>
    <w:p>
      <w:pPr>
        <w:spacing w:line="480" w:lineRule="auto" w:before="0" w:after="0"/>
        <w:jc w:val="left"/>
      </w:pPr>
      <w:r>
        <w:rPr>
          <w:rFonts w:ascii="Times New Roman" w:hAnsi="Times New Roman" w:eastAsia="맑은 고딕"/>
          <w:b w:val="0"/>
          <w:sz w:val="22"/>
        </w:rPr>
      </w:r>
    </w:p>
    <w:p>
      <w:pPr>
        <w:spacing w:line="480" w:lineRule="auto" w:before="0" w:after="0"/>
        <w:jc w:val="left"/>
      </w:pPr>
      <w:r>
        <w:rPr>
          <w:rFonts w:ascii="Times New Roman" w:hAnsi="Times New Roman" w:eastAsia="맑은 고딕"/>
          <w:b w:val="0"/>
          <w:sz w:val="22"/>
        </w:rPr>
      </w:r>
    </w:p>
    <w:p>
      <w:pPr>
        <w:spacing w:line="480" w:lineRule="auto" w:before="0" w:after="240"/>
        <w:jc w:val="center"/>
      </w:pPr>
      <w:r>
        <w:rPr>
          <w:rFonts w:ascii="Times New Roman" w:hAnsi="Times New Roman" w:eastAsia="맑은 고딕"/>
          <w:b/>
          <w:sz w:val="40"/>
        </w:rPr>
        <w:t>정형 데이터 특화 딥러닝(TabNet)과 거대언어모델(LLM) 기반 XAI-RAG를 활용한 설명 가능한 신용 평가 및 사용자 맞춤형 리포트 생성</w:t>
      </w:r>
    </w:p>
    <w:p>
      <w:pPr>
        <w:spacing w:line="480" w:lineRule="auto" w:before="0" w:after="480"/>
        <w:jc w:val="center"/>
      </w:pPr>
      <w:r>
        <w:rPr>
          <w:rFonts w:ascii="Times New Roman" w:hAnsi="Times New Roman" w:eastAsia="맑은 고딕"/>
          <w:b w:val="0"/>
          <w:sz w:val="28"/>
        </w:rPr>
        <w:t>어텐션-SHAP 융합 컨텍스트와 다중 평가 프레임워크 적용</w:t>
      </w:r>
    </w:p>
    <w:p>
      <w:pPr>
        <w:spacing w:line="480" w:lineRule="auto" w:before="0" w:after="0"/>
        <w:jc w:val="left"/>
      </w:pPr>
      <w:r>
        <w:rPr>
          <w:rFonts w:ascii="Times New Roman" w:hAnsi="Times New Roman" w:eastAsia="맑은 고딕"/>
          <w:b w:val="0"/>
          <w:sz w:val="22"/>
        </w:rPr>
      </w:r>
    </w:p>
    <w:p>
      <w:pPr>
        <w:spacing w:line="480" w:lineRule="auto" w:before="0" w:after="0"/>
        <w:jc w:val="left"/>
      </w:pPr>
      <w:r>
        <w:rPr>
          <w:rFonts w:ascii="Times New Roman" w:hAnsi="Times New Roman" w:eastAsia="맑은 고딕"/>
          <w:b w:val="0"/>
          <w:sz w:val="22"/>
        </w:rPr>
      </w:r>
    </w:p>
    <w:p>
      <w:pPr>
        <w:spacing w:line="480" w:lineRule="auto" w:before="0" w:after="0"/>
        <w:jc w:val="left"/>
      </w:pPr>
      <w:r>
        <w:rPr>
          <w:rFonts w:ascii="Times New Roman" w:hAnsi="Times New Roman" w:eastAsia="맑은 고딕"/>
          <w:b w:val="0"/>
          <w:sz w:val="22"/>
        </w:rPr>
      </w:r>
    </w:p>
    <w:p>
      <w:pPr>
        <w:spacing w:line="480" w:lineRule="auto" w:before="0" w:after="0"/>
        <w:jc w:val="left"/>
      </w:pPr>
      <w:r>
        <w:rPr>
          <w:rFonts w:ascii="Times New Roman" w:hAnsi="Times New Roman" w:eastAsia="맑은 고딕"/>
          <w:b w:val="0"/>
          <w:sz w:val="22"/>
        </w:rPr>
      </w:r>
    </w:p>
    <w:p>
      <w:pPr>
        <w:spacing w:line="480" w:lineRule="auto" w:before="0" w:after="0"/>
        <w:jc w:val="left"/>
      </w:pPr>
      <w:r>
        <w:rPr>
          <w:rFonts w:ascii="Times New Roman" w:hAnsi="Times New Roman" w:eastAsia="맑은 고딕"/>
          <w:b w:val="0"/>
          <w:sz w:val="22"/>
        </w:rPr>
      </w:r>
    </w:p>
    <w:p>
      <w:pPr>
        <w:spacing w:line="480" w:lineRule="auto" w:before="0" w:after="0"/>
        <w:jc w:val="left"/>
      </w:pPr>
      <w:r>
        <w:rPr>
          <w:rFonts w:ascii="Times New Roman" w:hAnsi="Times New Roman" w:eastAsia="맑은 고딕"/>
          <w:b w:val="0"/>
          <w:sz w:val="22"/>
        </w:rPr>
      </w:r>
    </w:p>
    <w:p>
      <w:pPr>
        <w:spacing w:line="480" w:lineRule="auto" w:before="0" w:after="0"/>
        <w:jc w:val="left"/>
      </w:pPr>
      <w:r>
        <w:rPr>
          <w:rFonts w:ascii="Times New Roman" w:hAnsi="Times New Roman" w:eastAsia="맑은 고딕"/>
          <w:b w:val="0"/>
          <w:sz w:val="22"/>
        </w:rPr>
      </w:r>
    </w:p>
    <w:p>
      <w:pPr>
        <w:spacing w:line="480" w:lineRule="auto" w:before="0" w:after="0"/>
        <w:jc w:val="left"/>
      </w:pPr>
      <w:r>
        <w:rPr>
          <w:rFonts w:ascii="Times New Roman" w:hAnsi="Times New Roman" w:eastAsia="맑은 고딕"/>
          <w:b w:val="0"/>
          <w:sz w:val="22"/>
        </w:rPr>
      </w:r>
    </w:p>
    <w:p>
      <w:pPr>
        <w:spacing w:line="480" w:lineRule="auto" w:before="0" w:after="480"/>
        <w:jc w:val="center"/>
      </w:pPr>
      <w:r>
        <w:rPr>
          <w:rFonts w:ascii="Times New Roman" w:hAnsi="Times New Roman" w:eastAsia="맑은 고딕"/>
          <w:b w:val="0"/>
          <w:sz w:val="28"/>
        </w:rPr>
        <w:t>2026년 6월</w:t>
      </w:r>
    </w:p>
    <w:p>
      <w:pPr>
        <w:spacing w:line="480" w:lineRule="auto" w:before="0" w:after="240"/>
        <w:jc w:val="center"/>
      </w:pPr>
      <w:r>
        <w:rPr>
          <w:rFonts w:ascii="Times New Roman" w:hAnsi="Times New Roman" w:eastAsia="맑은 고딕"/>
          <w:b w:val="0"/>
          <w:sz w:val="28"/>
        </w:rPr>
        <w:t>서강대학교 AI·SW대학원</w:t>
      </w:r>
    </w:p>
    <w:p>
      <w:pPr>
        <w:spacing w:line="480" w:lineRule="auto" w:before="0" w:after="240"/>
        <w:jc w:val="center"/>
      </w:pPr>
      <w:r>
        <w:rPr>
          <w:rFonts w:ascii="Times New Roman" w:hAnsi="Times New Roman" w:eastAsia="맑은 고딕"/>
          <w:b w:val="0"/>
          <w:sz w:val="28"/>
        </w:rPr>
        <w:t>데이터사이언스·인공지능 전공</w:t>
      </w:r>
    </w:p>
    <w:p>
      <w:pPr>
        <w:spacing w:line="480" w:lineRule="auto" w:before="0" w:after="480"/>
        <w:jc w:val="center"/>
      </w:pPr>
      <w:r>
        <w:rPr>
          <w:rFonts w:ascii="Times New Roman" w:hAnsi="Times New Roman" w:eastAsia="맑은 고딕"/>
          <w:b w:val="0"/>
          <w:sz w:val="28"/>
        </w:rPr>
        <w:t>오 현 택</w:t>
      </w:r>
    </w:p>
    <w:p>
      <w:r>
        <w:br w:type="page"/>
      </w:r>
    </w:p>
    <w:p>
      <w:pPr>
        <w:spacing w:line="480" w:lineRule="auto" w:before="0" w:after="0"/>
        <w:jc w:val="left"/>
      </w:pPr>
      <w:r>
        <w:rPr>
          <w:rFonts w:ascii="Times New Roman" w:hAnsi="Times New Roman" w:eastAsia="맑은 고딕"/>
          <w:b w:val="0"/>
          <w:sz w:val="22"/>
        </w:rPr>
      </w:r>
    </w:p>
    <w:p>
      <w:pPr>
        <w:spacing w:line="480" w:lineRule="auto" w:before="0" w:after="0"/>
        <w:jc w:val="left"/>
      </w:pPr>
      <w:r>
        <w:rPr>
          <w:rFonts w:ascii="Times New Roman" w:hAnsi="Times New Roman" w:eastAsia="맑은 고딕"/>
          <w:b w:val="0"/>
          <w:sz w:val="22"/>
        </w:rPr>
      </w:r>
    </w:p>
    <w:p>
      <w:pPr>
        <w:spacing w:line="480" w:lineRule="auto" w:before="0" w:after="0"/>
        <w:jc w:val="left"/>
      </w:pPr>
      <w:r>
        <w:rPr>
          <w:rFonts w:ascii="Times New Roman" w:hAnsi="Times New Roman" w:eastAsia="맑은 고딕"/>
          <w:b w:val="0"/>
          <w:sz w:val="22"/>
        </w:rPr>
      </w:r>
    </w:p>
    <w:p>
      <w:pPr>
        <w:spacing w:line="480" w:lineRule="auto" w:before="0" w:after="0"/>
        <w:jc w:val="left"/>
      </w:pPr>
      <w:r>
        <w:rPr>
          <w:rFonts w:ascii="Times New Roman" w:hAnsi="Times New Roman" w:eastAsia="맑은 고딕"/>
          <w:b w:val="0"/>
          <w:sz w:val="22"/>
        </w:rPr>
      </w:r>
    </w:p>
    <w:p>
      <w:pPr>
        <w:spacing w:line="480" w:lineRule="auto" w:before="0" w:after="240"/>
        <w:jc w:val="center"/>
      </w:pPr>
      <w:r>
        <w:rPr>
          <w:rFonts w:ascii="Times New Roman" w:hAnsi="Times New Roman" w:eastAsia="맑은 고딕"/>
          <w:b/>
          <w:sz w:val="40"/>
        </w:rPr>
        <w:t>정형 데이터 특화 딥러닝(TabNet)과 거대언어모델(LLM) 기반 XAI-RAG를 활용한 설명 가능한 신용 평가 및 사용자 맞춤형 리포트 생성</w:t>
      </w:r>
    </w:p>
    <w:p>
      <w:pPr>
        <w:spacing w:line="480" w:lineRule="auto" w:before="0" w:after="480"/>
        <w:jc w:val="center"/>
      </w:pPr>
      <w:r>
        <w:rPr>
          <w:rFonts w:ascii="Times New Roman" w:hAnsi="Times New Roman" w:eastAsia="맑은 고딕"/>
          <w:b w:val="0"/>
          <w:sz w:val="28"/>
        </w:rPr>
        <w:t>어텐션-SHAP 융합 컨텍스트와 다중 평가 프레임워크 적용</w:t>
      </w:r>
    </w:p>
    <w:p>
      <w:pPr>
        <w:spacing w:line="480" w:lineRule="auto" w:before="0" w:after="480"/>
        <w:jc w:val="center"/>
      </w:pPr>
      <w:r>
        <w:rPr>
          <w:rFonts w:ascii="Times New Roman" w:hAnsi="Times New Roman" w:eastAsia="맑은 고딕"/>
          <w:b w:val="0"/>
          <w:sz w:val="28"/>
        </w:rPr>
        <w:t>지도교수    박 운 상</w:t>
      </w:r>
    </w:p>
    <w:p>
      <w:pPr>
        <w:spacing w:line="480" w:lineRule="auto" w:before="0" w:after="0"/>
        <w:jc w:val="left"/>
      </w:pPr>
      <w:r>
        <w:rPr>
          <w:rFonts w:ascii="Times New Roman" w:hAnsi="Times New Roman" w:eastAsia="맑은 고딕"/>
          <w:b w:val="0"/>
          <w:sz w:val="22"/>
        </w:rPr>
      </w:r>
    </w:p>
    <w:p>
      <w:pPr>
        <w:spacing w:line="480" w:lineRule="auto" w:before="0" w:after="0"/>
        <w:jc w:val="left"/>
      </w:pPr>
      <w:r>
        <w:rPr>
          <w:rFonts w:ascii="Times New Roman" w:hAnsi="Times New Roman" w:eastAsia="맑은 고딕"/>
          <w:b w:val="0"/>
          <w:sz w:val="22"/>
        </w:rPr>
      </w:r>
    </w:p>
    <w:p>
      <w:pPr>
        <w:spacing w:line="480" w:lineRule="auto" w:before="0" w:after="0"/>
        <w:jc w:val="left"/>
      </w:pPr>
      <w:r>
        <w:rPr>
          <w:rFonts w:ascii="Times New Roman" w:hAnsi="Times New Roman" w:eastAsia="맑은 고딕"/>
          <w:b w:val="0"/>
          <w:sz w:val="22"/>
        </w:rPr>
      </w:r>
    </w:p>
    <w:p>
      <w:pPr>
        <w:spacing w:line="480" w:lineRule="auto" w:before="0" w:after="0"/>
        <w:jc w:val="left"/>
      </w:pPr>
      <w:r>
        <w:rPr>
          <w:rFonts w:ascii="Times New Roman" w:hAnsi="Times New Roman" w:eastAsia="맑은 고딕"/>
          <w:b w:val="0"/>
          <w:sz w:val="22"/>
        </w:rPr>
      </w:r>
    </w:p>
    <w:p>
      <w:pPr>
        <w:spacing w:line="480" w:lineRule="auto" w:before="0" w:after="0"/>
        <w:jc w:val="left"/>
      </w:pPr>
      <w:r>
        <w:rPr>
          <w:rFonts w:ascii="Times New Roman" w:hAnsi="Times New Roman" w:eastAsia="맑은 고딕"/>
          <w:b w:val="0"/>
          <w:sz w:val="22"/>
        </w:rPr>
      </w:r>
    </w:p>
    <w:p>
      <w:pPr>
        <w:spacing w:line="480" w:lineRule="auto" w:before="0" w:after="0"/>
        <w:jc w:val="left"/>
      </w:pPr>
      <w:r>
        <w:rPr>
          <w:rFonts w:ascii="Times New Roman" w:hAnsi="Times New Roman" w:eastAsia="맑은 고딕"/>
          <w:b w:val="0"/>
          <w:sz w:val="22"/>
        </w:rPr>
      </w:r>
    </w:p>
    <w:p>
      <w:pPr>
        <w:spacing w:line="480" w:lineRule="auto" w:before="0" w:after="360"/>
        <w:jc w:val="center"/>
      </w:pPr>
      <w:r>
        <w:rPr>
          <w:rFonts w:ascii="Times New Roman" w:hAnsi="Times New Roman" w:eastAsia="맑은 고딕"/>
          <w:b w:val="0"/>
          <w:sz w:val="28"/>
        </w:rPr>
        <w:t>이 논문을 데이터사이언스·인공지능 석사 학위논문으로 제출함</w:t>
      </w:r>
    </w:p>
    <w:p>
      <w:pPr>
        <w:spacing w:line="480" w:lineRule="auto" w:before="0" w:after="360"/>
        <w:jc w:val="center"/>
      </w:pPr>
      <w:r>
        <w:rPr>
          <w:rFonts w:ascii="Times New Roman" w:hAnsi="Times New Roman" w:eastAsia="맑은 고딕"/>
          <w:b w:val="0"/>
          <w:sz w:val="28"/>
        </w:rPr>
        <w:t>2026년 6월 일</w:t>
      </w:r>
    </w:p>
    <w:p>
      <w:pPr>
        <w:spacing w:line="480" w:lineRule="auto" w:before="0" w:after="240"/>
        <w:jc w:val="center"/>
      </w:pPr>
      <w:r>
        <w:rPr>
          <w:rFonts w:ascii="Times New Roman" w:hAnsi="Times New Roman" w:eastAsia="맑은 고딕"/>
          <w:b w:val="0"/>
          <w:sz w:val="28"/>
        </w:rPr>
        <w:t>서강대학교 AI·SW대학원</w:t>
      </w:r>
    </w:p>
    <w:p>
      <w:pPr>
        <w:spacing w:line="480" w:lineRule="auto" w:before="0" w:after="240"/>
        <w:jc w:val="center"/>
      </w:pPr>
      <w:r>
        <w:rPr>
          <w:rFonts w:ascii="Times New Roman" w:hAnsi="Times New Roman" w:eastAsia="맑은 고딕"/>
          <w:b w:val="0"/>
          <w:sz w:val="28"/>
        </w:rPr>
        <w:t>데이터사이언스·인공지능 전공</w:t>
      </w:r>
    </w:p>
    <w:p>
      <w:pPr>
        <w:spacing w:line="480" w:lineRule="auto" w:before="0" w:after="240"/>
        <w:jc w:val="center"/>
      </w:pPr>
      <w:r>
        <w:rPr>
          <w:rFonts w:ascii="Times New Roman" w:hAnsi="Times New Roman" w:eastAsia="맑은 고딕"/>
          <w:b w:val="0"/>
          <w:sz w:val="28"/>
        </w:rPr>
        <w:t>오 현 택</w:t>
      </w:r>
    </w:p>
    <w:p>
      <w:r>
        <w:br w:type="page"/>
      </w:r>
    </w:p>
    <w:p>
      <w:pPr>
        <w:spacing w:line="480" w:lineRule="auto" w:before="0" w:after="0"/>
        <w:jc w:val="left"/>
      </w:pPr>
      <w:r>
        <w:rPr>
          <w:rFonts w:ascii="Times New Roman" w:hAnsi="Times New Roman" w:eastAsia="맑은 고딕"/>
          <w:b w:val="0"/>
          <w:sz w:val="22"/>
        </w:rPr>
      </w:r>
    </w:p>
    <w:p>
      <w:pPr>
        <w:spacing w:line="480" w:lineRule="auto" w:before="0" w:after="0"/>
        <w:jc w:val="left"/>
      </w:pPr>
      <w:r>
        <w:rPr>
          <w:rFonts w:ascii="Times New Roman" w:hAnsi="Times New Roman" w:eastAsia="맑은 고딕"/>
          <w:b w:val="0"/>
          <w:sz w:val="22"/>
        </w:rPr>
      </w:r>
    </w:p>
    <w:p>
      <w:pPr>
        <w:spacing w:line="480" w:lineRule="auto" w:before="0" w:after="0"/>
        <w:jc w:val="left"/>
      </w:pPr>
      <w:r>
        <w:rPr>
          <w:rFonts w:ascii="Times New Roman" w:hAnsi="Times New Roman" w:eastAsia="맑은 고딕"/>
          <w:b w:val="0"/>
          <w:sz w:val="22"/>
        </w:rPr>
      </w:r>
    </w:p>
    <w:p>
      <w:pPr>
        <w:spacing w:line="480" w:lineRule="auto" w:before="0" w:after="0"/>
        <w:jc w:val="left"/>
      </w:pPr>
      <w:r>
        <w:rPr>
          <w:rFonts w:ascii="Times New Roman" w:hAnsi="Times New Roman" w:eastAsia="맑은 고딕"/>
          <w:b w:val="0"/>
          <w:sz w:val="22"/>
        </w:rPr>
      </w:r>
    </w:p>
    <w:p>
      <w:pPr>
        <w:spacing w:line="480" w:lineRule="auto" w:before="0" w:after="720"/>
        <w:jc w:val="center"/>
      </w:pPr>
      <w:r>
        <w:rPr>
          <w:rFonts w:ascii="Times New Roman" w:hAnsi="Times New Roman" w:eastAsia="맑은 고딕"/>
          <w:b/>
          <w:sz w:val="48"/>
        </w:rPr>
        <w:t>논 문 인 준 서</w:t>
      </w:r>
    </w:p>
    <w:p>
      <w:pPr>
        <w:spacing w:line="480" w:lineRule="auto" w:before="0" w:after="0"/>
        <w:jc w:val="left"/>
      </w:pPr>
      <w:r>
        <w:rPr>
          <w:rFonts w:ascii="Times New Roman" w:hAnsi="Times New Roman" w:eastAsia="맑은 고딕"/>
          <w:b w:val="0"/>
          <w:sz w:val="22"/>
        </w:rPr>
      </w:r>
    </w:p>
    <w:p>
      <w:pPr>
        <w:spacing w:line="480" w:lineRule="auto" w:before="0" w:after="0"/>
        <w:jc w:val="left"/>
      </w:pPr>
      <w:r>
        <w:rPr>
          <w:rFonts w:ascii="Times New Roman" w:hAnsi="Times New Roman" w:eastAsia="맑은 고딕"/>
          <w:b w:val="0"/>
          <w:sz w:val="22"/>
        </w:rPr>
      </w:r>
    </w:p>
    <w:p>
      <w:pPr>
        <w:spacing w:line="480" w:lineRule="auto" w:before="0" w:after="0"/>
        <w:jc w:val="left"/>
      </w:pPr>
      <w:r>
        <w:rPr>
          <w:rFonts w:ascii="Times New Roman" w:hAnsi="Times New Roman" w:eastAsia="맑은 고딕"/>
          <w:b w:val="0"/>
          <w:sz w:val="22"/>
        </w:rPr>
      </w:r>
    </w:p>
    <w:p>
      <w:pPr>
        <w:spacing w:line="480" w:lineRule="auto" w:before="0" w:after="720"/>
        <w:jc w:val="center"/>
      </w:pPr>
      <w:r>
        <w:rPr>
          <w:rFonts w:ascii="Times New Roman" w:hAnsi="Times New Roman" w:eastAsia="맑은 고딕"/>
          <w:b w:val="0"/>
          <w:sz w:val="28"/>
        </w:rPr>
        <w:t>오 현 택의 데이터사이언스·인공지능 석사 학위논문을 인준함.</w:t>
      </w:r>
    </w:p>
    <w:p>
      <w:pPr>
        <w:spacing w:line="480" w:lineRule="auto" w:before="0" w:after="0"/>
        <w:jc w:val="left"/>
      </w:pPr>
      <w:r>
        <w:rPr>
          <w:rFonts w:ascii="Times New Roman" w:hAnsi="Times New Roman" w:eastAsia="맑은 고딕"/>
          <w:b w:val="0"/>
          <w:sz w:val="22"/>
        </w:rPr>
      </w:r>
    </w:p>
    <w:p>
      <w:pPr>
        <w:spacing w:line="480" w:lineRule="auto" w:before="0" w:after="0"/>
        <w:jc w:val="left"/>
      </w:pPr>
      <w:r>
        <w:rPr>
          <w:rFonts w:ascii="Times New Roman" w:hAnsi="Times New Roman" w:eastAsia="맑은 고딕"/>
          <w:b w:val="0"/>
          <w:sz w:val="22"/>
        </w:rPr>
      </w:r>
    </w:p>
    <w:p>
      <w:pPr>
        <w:spacing w:line="480" w:lineRule="auto" w:before="0" w:after="0"/>
        <w:jc w:val="left"/>
      </w:pPr>
      <w:r>
        <w:rPr>
          <w:rFonts w:ascii="Times New Roman" w:hAnsi="Times New Roman" w:eastAsia="맑은 고딕"/>
          <w:b w:val="0"/>
          <w:sz w:val="22"/>
        </w:rPr>
      </w:r>
    </w:p>
    <w:p>
      <w:pPr>
        <w:spacing w:line="480" w:lineRule="auto" w:before="0" w:after="0"/>
        <w:jc w:val="left"/>
      </w:pPr>
      <w:r>
        <w:rPr>
          <w:rFonts w:ascii="Times New Roman" w:hAnsi="Times New Roman" w:eastAsia="맑은 고딕"/>
          <w:b w:val="0"/>
          <w:sz w:val="22"/>
        </w:rPr>
      </w:r>
    </w:p>
    <w:p>
      <w:pPr>
        <w:spacing w:line="480" w:lineRule="auto" w:before="0" w:after="480"/>
        <w:jc w:val="center"/>
      </w:pPr>
      <w:r>
        <w:rPr>
          <w:rFonts w:ascii="Times New Roman" w:hAnsi="Times New Roman" w:eastAsia="맑은 고딕"/>
          <w:b w:val="0"/>
          <w:sz w:val="28"/>
        </w:rPr>
        <w:t>2026년 6월 일</w:t>
      </w:r>
    </w:p>
    <w:p>
      <w:pPr>
        <w:spacing w:line="480" w:lineRule="auto" w:before="0" w:after="0"/>
        <w:jc w:val="left"/>
      </w:pPr>
      <w:r>
        <w:rPr>
          <w:rFonts w:ascii="Times New Roman" w:hAnsi="Times New Roman" w:eastAsia="맑은 고딕"/>
          <w:b w:val="0"/>
          <w:sz w:val="22"/>
        </w:rPr>
      </w:r>
    </w:p>
    <w:p>
      <w:pPr>
        <w:spacing w:line="480" w:lineRule="auto" w:before="0" w:after="0"/>
        <w:jc w:val="left"/>
      </w:pPr>
      <w:r>
        <w:rPr>
          <w:rFonts w:ascii="Times New Roman" w:hAnsi="Times New Roman" w:eastAsia="맑은 고딕"/>
          <w:b w:val="0"/>
          <w:sz w:val="22"/>
        </w:rPr>
      </w:r>
    </w:p>
    <w:p>
      <w:pPr>
        <w:spacing w:line="480" w:lineRule="auto" w:before="0" w:after="0"/>
        <w:jc w:val="left"/>
      </w:pPr>
      <w:r>
        <w:rPr>
          <w:rFonts w:ascii="Times New Roman" w:hAnsi="Times New Roman" w:eastAsia="맑은 고딕"/>
          <w:b w:val="0"/>
          <w:sz w:val="22"/>
        </w:rPr>
      </w:r>
    </w:p>
    <w:p>
      <w:pPr>
        <w:spacing w:line="480" w:lineRule="auto" w:before="0" w:after="360"/>
        <w:jc w:val="center"/>
      </w:pPr>
      <w:r>
        <w:rPr>
          <w:rFonts w:ascii="Times New Roman" w:hAnsi="Times New Roman" w:eastAsia="맑은 고딕"/>
          <w:b w:val="0"/>
          <w:sz w:val="28"/>
        </w:rPr>
        <w:t>주심                            (인)</w:t>
      </w:r>
    </w:p>
    <w:p>
      <w:pPr>
        <w:spacing w:line="480" w:lineRule="auto" w:before="0" w:after="360"/>
        <w:jc w:val="center"/>
      </w:pPr>
      <w:r>
        <w:rPr>
          <w:rFonts w:ascii="Times New Roman" w:hAnsi="Times New Roman" w:eastAsia="맑은 고딕"/>
          <w:b w:val="0"/>
          <w:sz w:val="28"/>
        </w:rPr>
        <w:t>부심                            (인)</w:t>
      </w:r>
    </w:p>
    <w:p>
      <w:pPr>
        <w:spacing w:line="480" w:lineRule="auto" w:before="0" w:after="360"/>
        <w:jc w:val="center"/>
      </w:pPr>
      <w:r>
        <w:rPr>
          <w:rFonts w:ascii="Times New Roman" w:hAnsi="Times New Roman" w:eastAsia="맑은 고딕"/>
          <w:b w:val="0"/>
          <w:sz w:val="28"/>
        </w:rPr>
        <w:t>부심                            (인)</w:t>
      </w:r>
    </w:p>
    <w:p>
      <w:r>
        <w:br w:type="page"/>
      </w:r>
    </w:p>
    <w:p>
      <w:pPr>
        <w:pStyle w:val="Heading1"/>
        <w:spacing w:line="480" w:lineRule="auto" w:before="480" w:after="360"/>
        <w:jc w:val="center"/>
      </w:pPr>
      <w:r>
        <w:rPr>
          <w:rFonts w:ascii="Times New Roman" w:hAnsi="Times New Roman" w:eastAsia="맑은 고딕"/>
          <w:b/>
          <w:color w:val="000000"/>
          <w:sz w:val="32"/>
        </w:rPr>
        <w:t>감사의 글</w:t>
      </w:r>
    </w:p>
    <w:p>
      <w:pPr>
        <w:spacing w:line="480" w:lineRule="auto" w:before="0" w:after="240"/>
        <w:ind w:firstLine="283"/>
        <w:jc w:val="left"/>
      </w:pPr>
      <w:r>
        <w:rPr>
          <w:rFonts w:ascii="Times New Roman" w:hAnsi="Times New Roman" w:eastAsia="맑은 고딕"/>
          <w:b w:val="0"/>
          <w:sz w:val="22"/>
        </w:rPr>
        <w:t>본 논문이 완성되기까지 많은 분들의 도움이 있었습니다. 먼저 끊임없는 지도와 격려를 보내주신 박운상 지도교수님께 진심으로 감사드립니다. 또한 본 연구를 함께 검토해 주신 심사위원님들과 연구 과정에서 의견을 나눠준 동료 연구자들, 그리고 항상 응원해 주신 가족에게 깊은 감사를 표합니다.</w:t>
      </w:r>
    </w:p>
    <w:p>
      <w:r>
        <w:br w:type="page"/>
      </w:r>
    </w:p>
    <w:p>
      <w:pPr>
        <w:pStyle w:val="Heading1"/>
        <w:spacing w:line="480" w:lineRule="auto" w:before="480" w:after="360"/>
        <w:jc w:val="center"/>
      </w:pPr>
      <w:r>
        <w:rPr>
          <w:rFonts w:ascii="Times New Roman" w:hAnsi="Times New Roman" w:eastAsia="맑은 고딕"/>
          <w:b/>
          <w:color w:val="000000"/>
          <w:sz w:val="32"/>
        </w:rPr>
        <w:t>목   차</w:t>
      </w:r>
    </w:p>
    <w:p>
      <w:r>
        <w:rPr>
          <w:rFonts w:ascii="Times New Roman" w:hAnsi="Times New Roman" w:eastAsia="맑은 고딕"/>
          <w:b w:val="0"/>
          <w:sz w:val="22"/>
        </w:rPr>
        <w:fldChar w:fldCharType="begin"/>
        <w:instrText xml:space="preserve"> TOC \o "1-3" \h \z \u </w:instrText>
        <w:fldChar w:fldCharType="separate"/>
        <w:t>(목차 — Word에서 마우스 우클릭 → '필드 업데이트' 또는 F9)</w:t>
        <w:fldChar w:fldCharType="end"/>
      </w:r>
    </w:p>
    <w:p>
      <w:r>
        <w:br w:type="page"/>
      </w:r>
    </w:p>
    <w:p>
      <w:pPr>
        <w:pStyle w:val="Heading1"/>
        <w:spacing w:line="480" w:lineRule="auto" w:before="480" w:after="360"/>
        <w:jc w:val="center"/>
      </w:pPr>
      <w:r>
        <w:rPr>
          <w:rFonts w:ascii="Times New Roman" w:hAnsi="Times New Roman" w:eastAsia="맑은 고딕"/>
          <w:b/>
          <w:color w:val="000000"/>
          <w:sz w:val="32"/>
        </w:rPr>
        <w:t>표 차례</w:t>
      </w:r>
    </w:p>
    <w:p>
      <w:r>
        <w:rPr>
          <w:rFonts w:ascii="Times New Roman" w:hAnsi="Times New Roman" w:eastAsia="맑은 고딕"/>
          <w:b w:val="0"/>
          <w:sz w:val="22"/>
        </w:rPr>
        <w:fldChar w:fldCharType="begin"/>
        <w:instrText xml:space="preserve"> TOC \h \z \c "표" </w:instrText>
        <w:fldChar w:fldCharType="separate"/>
        <w:t>(목차 — Word에서 마우스 우클릭 → '필드 업데이트' 또는 F9)</w:t>
        <w:fldChar w:fldCharType="end"/>
      </w:r>
    </w:p>
    <w:p>
      <w:r>
        <w:br w:type="page"/>
      </w:r>
    </w:p>
    <w:p>
      <w:pPr>
        <w:pStyle w:val="Heading1"/>
        <w:spacing w:line="480" w:lineRule="auto" w:before="480" w:after="360"/>
        <w:jc w:val="center"/>
      </w:pPr>
      <w:r>
        <w:rPr>
          <w:rFonts w:ascii="Times New Roman" w:hAnsi="Times New Roman" w:eastAsia="맑은 고딕"/>
          <w:b/>
          <w:color w:val="000000"/>
          <w:sz w:val="32"/>
        </w:rPr>
        <w:t>그림 차례</w:t>
      </w:r>
    </w:p>
    <w:p>
      <w:r>
        <w:rPr>
          <w:rFonts w:ascii="Times New Roman" w:hAnsi="Times New Roman" w:eastAsia="맑은 고딕"/>
          <w:b w:val="0"/>
          <w:sz w:val="22"/>
        </w:rPr>
        <w:fldChar w:fldCharType="begin"/>
        <w:instrText xml:space="preserve"> TOC \h \z \c "그림" </w:instrText>
        <w:fldChar w:fldCharType="separate"/>
        <w:t>(목차 — Word에서 마우스 우클릭 → '필드 업데이트' 또는 F9)</w:t>
        <w:fldChar w:fldCharType="end"/>
      </w:r>
    </w:p>
    <w:p>
      <w:r>
        <w:br w:type="page"/>
      </w:r>
    </w:p>
    <w:p>
      <w:pPr>
        <w:pStyle w:val="Heading1"/>
        <w:spacing w:line="480" w:lineRule="auto" w:before="480" w:after="360"/>
        <w:jc w:val="center"/>
      </w:pPr>
      <w:r>
        <w:rPr>
          <w:rFonts w:ascii="Times New Roman" w:hAnsi="Times New Roman" w:eastAsia="맑은 고딕"/>
          <w:b/>
          <w:color w:val="000000"/>
          <w:sz w:val="32"/>
        </w:rPr>
        <w:t>초록 / Abstract</w:t>
      </w:r>
    </w:p>
    <w:p>
      <w:pPr>
        <w:spacing w:line="360" w:lineRule="auto" w:before="120" w:after="120"/>
        <w:jc w:val="center"/>
      </w:pPr>
      <w:r>
        <w:rPr>
          <w:rFonts w:ascii="Times New Roman" w:hAnsi="Times New Roman" w:eastAsia="맑은 고딕"/>
          <w:b w:val="0"/>
          <w:i/>
          <w:sz w:val="22"/>
        </w:rPr>
        <w:t>학위논문지침 ⑺: "본문이 국문일 경우에는 외국어로 된 초록을 앞세우고, 본문이 외국어인 경우에는 국문초록을 앞세운다."</w:t>
      </w:r>
    </w:p>
    <w:p>
      <w:pPr>
        <w:spacing w:line="360" w:lineRule="auto" w:before="120" w:after="120"/>
        <w:jc w:val="center"/>
      </w:pPr>
      <w:r>
        <w:rPr>
          <w:rFonts w:ascii="Times New Roman" w:hAnsi="Times New Roman" w:eastAsia="맑은 고딕"/>
          <w:b w:val="0"/>
          <w:i/>
          <w:sz w:val="22"/>
        </w:rPr>
        <w:t>본 논문은 한국어 본문이므로 영문 Abstract 가 앞에 배치된다.</w:t>
      </w:r>
    </w:p>
    <w:p>
      <w:pPr>
        <w:spacing w:line="480" w:lineRule="auto" w:before="0" w:after="120"/>
        <w:ind w:firstLine="283"/>
        <w:jc w:val="left"/>
      </w:pPr>
      <w:r>
        <w:rPr>
          <w:rFonts w:ascii="Times New Roman" w:hAnsi="Times New Roman" w:eastAsia="맑은 고딕"/>
          <w:b w:val="0"/>
          <w:sz w:val="22"/>
        </w:rPr>
        <w:t>---</w:t>
      </w:r>
    </w:p>
    <w:p>
      <w:pPr>
        <w:pStyle w:val="Heading2"/>
        <w:spacing w:line="480" w:lineRule="auto" w:before="360" w:after="240"/>
        <w:jc w:val="left"/>
      </w:pPr>
      <w:r>
        <w:rPr>
          <w:rFonts w:ascii="Times New Roman" w:hAnsi="Times New Roman" w:eastAsia="맑은 고딕"/>
          <w:b/>
          <w:color w:val="000000"/>
          <w:sz w:val="26"/>
        </w:rPr>
        <w:t>English Abstract</w:t>
      </w:r>
    </w:p>
    <w:p>
      <w:pPr>
        <w:spacing w:line="480" w:lineRule="auto" w:before="0" w:after="120"/>
        <w:ind w:firstLine="283"/>
        <w:jc w:val="left"/>
      </w:pPr>
      <w:r>
        <w:rPr>
          <w:rFonts w:ascii="Times New Roman" w:hAnsi="Times New Roman" w:eastAsia="맑은 고딕"/>
          <w:b w:val="0"/>
          <w:sz w:val="22"/>
        </w:rPr>
        <w:t>Title: Explainable Credit Scoring and Customer-Tailored Reports via Tabular-Specialized Deep Learning (TabNet) and LLM-based XAI-RAG</w:t>
      </w:r>
    </w:p>
    <w:p>
      <w:pPr>
        <w:spacing w:line="480" w:lineRule="auto" w:before="0" w:after="120"/>
        <w:ind w:firstLine="283"/>
        <w:jc w:val="left"/>
      </w:pPr>
      <w:r>
        <w:rPr>
          <w:rFonts w:ascii="Times New Roman" w:hAnsi="Times New Roman" w:eastAsia="맑은 고딕"/>
          <w:b w:val="0"/>
          <w:sz w:val="22"/>
        </w:rPr>
        <w:t>Subtitle: An Application of Attention-SHAP Fusion Context and a Multi-Tier Evaluation Framework</w:t>
      </w:r>
    </w:p>
    <w:p>
      <w:pPr>
        <w:spacing w:line="480" w:lineRule="auto" w:before="0" w:after="120"/>
        <w:ind w:firstLine="283"/>
        <w:jc w:val="left"/>
      </w:pPr>
      <w:r>
        <w:rPr>
          <w:rFonts w:ascii="Times New Roman" w:hAnsi="Times New Roman" w:eastAsia="맑은 고딕"/>
          <w:b w:val="0"/>
          <w:sz w:val="22"/>
        </w:rPr>
        <w:t>By Hyuntaek Oh</w:t>
      </w:r>
    </w:p>
    <w:p>
      <w:pPr>
        <w:spacing w:line="480" w:lineRule="auto" w:before="0" w:after="120"/>
        <w:ind w:firstLine="283"/>
        <w:jc w:val="left"/>
      </w:pPr>
      <w:r>
        <w:rPr>
          <w:rFonts w:ascii="Times New Roman" w:hAnsi="Times New Roman" w:eastAsia="맑은 고딕"/>
          <w:b w:val="0"/>
          <w:sz w:val="22"/>
        </w:rPr>
        <w:t>Department of Data Science · AI</w:t>
      </w:r>
    </w:p>
    <w:p>
      <w:pPr>
        <w:spacing w:line="480" w:lineRule="auto" w:before="0" w:after="120"/>
        <w:ind w:firstLine="283"/>
        <w:jc w:val="left"/>
      </w:pPr>
      <w:r>
        <w:rPr>
          <w:rFonts w:ascii="Times New Roman" w:hAnsi="Times New Roman" w:eastAsia="맑은 고딕"/>
          <w:b w:val="0"/>
          <w:sz w:val="22"/>
        </w:rPr>
        <w:t>Under the supervision of Professor Unsang Park</w:t>
      </w:r>
    </w:p>
    <w:p>
      <w:pPr>
        <w:spacing w:line="480" w:lineRule="auto" w:before="0" w:after="120"/>
        <w:ind w:firstLine="283"/>
        <w:jc w:val="left"/>
      </w:pPr>
      <w:r>
        <w:rPr>
          <w:rFonts w:ascii="Times New Roman" w:hAnsi="Times New Roman" w:eastAsia="맑은 고딕"/>
          <w:b w:val="0"/>
          <w:sz w:val="22"/>
        </w:rPr>
        <w:t>Machine learning credit-scoring models often face a dual demand of high predictive accuracy and transparent justification for downstream regulatory and customer-facing applications. While SHAP and attention-based explanations have emerged separately, their fusion in a single context for downstream large language model (LLM) based natural-language reports remains under-explored. This thesis proposes an agreement-aware fusion context that combines local SHAP values from XGBoost with TabNet attention masks at the instance level, classifying drivers into three groups — agreed, shap_only, and attention_only — and feeding the structured JSON to a retrieval-augmented generation (RAG) pipeline based on Anthropic Claude Sonnet 4.5 and Google Gemini 2.5 Flash.</w:t>
      </w:r>
    </w:p>
    <w:p>
      <w:pPr>
        <w:spacing w:line="480" w:lineRule="auto" w:before="0" w:after="120"/>
        <w:ind w:firstLine="283"/>
        <w:jc w:val="left"/>
      </w:pPr>
      <w:r>
        <w:rPr>
          <w:rFonts w:ascii="Times New Roman" w:hAnsi="Times New Roman" w:eastAsia="맑은 고딕"/>
          <w:b w:val="0"/>
          <w:sz w:val="22"/>
        </w:rPr>
        <w:t>We evaluate the proposed system on Kaggle Home Credit Default Risk (307K samples, 214 features) and validate generalization on UCI German Credit (1K samples, 63 features). A four-tier evaluation framework — rule-based faithfulness and hallucination, mDeBERTa-NLI entailment for semantic faithfulness, cross-judge G-Eval (Claude × Gemini) over four dimensions, and a three-persona (Credit Expert / Customer / Regulator) LLM-proxy pilot — together with Reweighing-based fairness mitigation, demonstrates the following findings.</w:t>
      </w:r>
    </w:p>
    <w:p>
      <w:pPr>
        <w:spacing w:line="480" w:lineRule="auto" w:before="0" w:after="120"/>
        <w:ind w:firstLine="283"/>
        <w:jc w:val="left"/>
      </w:pPr>
      <w:r>
        <w:rPr>
          <w:rFonts w:ascii="Times New Roman" w:hAnsi="Times New Roman" w:eastAsia="맑은 고딕"/>
          <w:b w:val="0"/>
          <w:sz w:val="22"/>
        </w:rPr>
        <w:t>First, the fusion mode achieves the highest NLI entailment in both datasets (0.625 / 0.711), with a consistent monotonic increase across the four modes (no_shap &lt; generic_rag &lt; shaponly &lt; fusion). Second, hallucination is eliminated in all modes via hard constraints, but only fusion achieves fact-grounded faithfulness in semantic and value-citation dimensions. Third, Reweighing-based fairness mitigation passes the 4/5 rule on all four protected-attribute combinations with negligible AUROC change (loss within 0.004). Fourth, mode selection follows an application × evaluation-dimension × data-complexity trade-off — fusion fits audit/regulation in complex-domain settings while generic_rag fits customer-facing in simpler domains.</w:t>
      </w:r>
    </w:p>
    <w:p>
      <w:pPr>
        <w:spacing w:line="480" w:lineRule="auto" w:before="0" w:after="120"/>
        <w:ind w:firstLine="283"/>
        <w:jc w:val="left"/>
      </w:pPr>
      <w:r>
        <w:rPr>
          <w:rFonts w:ascii="Times New Roman" w:hAnsi="Times New Roman" w:eastAsia="맑은 고딕"/>
          <w:b w:val="0"/>
          <w:sz w:val="22"/>
        </w:rPr>
        <w:t>This thesis contributes (a) a novel agreement-aware fusion context schema for SHAP × attention integration, (b) a four-tier evaluation framework combining rule-based, NLI-based, cross-judge LLM, and persona-based measures, (c) generalization evidence on a second dataset with consistent Spearman ρ ≈ 0.11 and monotonic NLI patterns, (d) a Reweighing-based fairness solution preserving model performance, and (e) an honest reporting of customer-clarity weakness and data-complexity dependence. All code is released as an open-source repository at Tim-Green0/tabnet-xai-rag-credit on GitHub for reproducibility.</w:t>
      </w:r>
    </w:p>
    <w:p>
      <w:pPr>
        <w:spacing w:line="480" w:lineRule="auto" w:before="0" w:after="120"/>
        <w:ind w:firstLine="283"/>
        <w:jc w:val="left"/>
      </w:pPr>
      <w:r>
        <w:rPr>
          <w:rFonts w:ascii="Times New Roman" w:hAnsi="Times New Roman" w:eastAsia="맑은 고딕"/>
          <w:b w:val="0"/>
          <w:sz w:val="22"/>
        </w:rPr>
        <w:t>Keywords: Explainable Artificial Intelligence (XAI), SHAP, TabNet attention, Credit Scoring, Large Language Model (LLM), Retrieval-Augmented Generation (RAG), Fairness Mitigation, Cross-Judge Evaluation, Natural Language Inference (NLI), Reweighing</w:t>
      </w:r>
    </w:p>
    <w:p>
      <w:pPr>
        <w:spacing w:line="480" w:lineRule="auto" w:before="0" w:after="120"/>
        <w:ind w:firstLine="283"/>
        <w:jc w:val="left"/>
      </w:pPr>
      <w:r>
        <w:rPr>
          <w:rFonts w:ascii="Times New Roman" w:hAnsi="Times New Roman" w:eastAsia="맑은 고딕"/>
          <w:b w:val="0"/>
          <w:sz w:val="22"/>
        </w:rPr>
        <w:t>---</w:t>
      </w:r>
    </w:p>
    <w:p>
      <w:pPr>
        <w:pStyle w:val="Heading2"/>
        <w:spacing w:line="480" w:lineRule="auto" w:before="360" w:after="240"/>
        <w:jc w:val="left"/>
      </w:pPr>
      <w:r>
        <w:rPr>
          <w:rFonts w:ascii="Times New Roman" w:hAnsi="Times New Roman" w:eastAsia="맑은 고딕"/>
          <w:b/>
          <w:color w:val="000000"/>
          <w:sz w:val="26"/>
        </w:rPr>
        <w:t>국문 초록</w:t>
      </w:r>
    </w:p>
    <w:p>
      <w:pPr>
        <w:spacing w:line="480" w:lineRule="auto" w:before="0" w:after="120"/>
        <w:ind w:firstLine="283"/>
        <w:jc w:val="left"/>
      </w:pPr>
      <w:r>
        <w:rPr>
          <w:rFonts w:ascii="Times New Roman" w:hAnsi="Times New Roman" w:eastAsia="맑은 고딕"/>
          <w:b w:val="0"/>
          <w:sz w:val="22"/>
        </w:rPr>
        <w:t>논문 제목: 정형 데이터 특화 딥러닝(TabNet)과 거대언어모델(LLM) 기반 XAI-RAG를 활용한 설명 가능한 신용 평가 및 사용자 맞춤형 리포트 생성</w:t>
      </w:r>
    </w:p>
    <w:p>
      <w:pPr>
        <w:spacing w:line="480" w:lineRule="auto" w:before="0" w:after="120"/>
        <w:ind w:firstLine="283"/>
        <w:jc w:val="left"/>
      </w:pPr>
      <w:r>
        <w:rPr>
          <w:rFonts w:ascii="Times New Roman" w:hAnsi="Times New Roman" w:eastAsia="맑은 고딕"/>
          <w:b w:val="0"/>
          <w:sz w:val="22"/>
        </w:rPr>
        <w:t>부제목: 어텐션-SHAP 융합 컨텍스트와 다중 평가 프레임워크 적용</w:t>
      </w:r>
    </w:p>
    <w:p>
      <w:pPr>
        <w:spacing w:line="480" w:lineRule="auto" w:before="0" w:after="120"/>
        <w:ind w:firstLine="283"/>
        <w:jc w:val="left"/>
      </w:pPr>
      <w:r>
        <w:rPr>
          <w:rFonts w:ascii="Times New Roman" w:hAnsi="Times New Roman" w:eastAsia="맑은 고딕"/>
          <w:b w:val="0"/>
          <w:sz w:val="22"/>
        </w:rPr>
        <w:t>저자: 오현택</w:t>
      </w:r>
    </w:p>
    <w:p>
      <w:pPr>
        <w:spacing w:line="480" w:lineRule="auto" w:before="0" w:after="120"/>
        <w:ind w:firstLine="283"/>
        <w:jc w:val="left"/>
      </w:pPr>
      <w:r>
        <w:rPr>
          <w:rFonts w:ascii="Times New Roman" w:hAnsi="Times New Roman" w:eastAsia="맑은 고딕"/>
          <w:b w:val="0"/>
          <w:sz w:val="22"/>
        </w:rPr>
        <w:t>전공: 데이터사이언스·인공지능</w:t>
      </w:r>
    </w:p>
    <w:p>
      <w:pPr>
        <w:spacing w:line="480" w:lineRule="auto" w:before="0" w:after="120"/>
        <w:ind w:firstLine="283"/>
        <w:jc w:val="left"/>
      </w:pPr>
      <w:r>
        <w:rPr>
          <w:rFonts w:ascii="Times New Roman" w:hAnsi="Times New Roman" w:eastAsia="맑은 고딕"/>
          <w:b w:val="0"/>
          <w:sz w:val="22"/>
        </w:rPr>
        <w:t>지도교수: 박운상</w:t>
      </w:r>
    </w:p>
    <w:p>
      <w:pPr>
        <w:spacing w:line="480" w:lineRule="auto" w:before="0" w:after="120"/>
        <w:ind w:firstLine="283"/>
        <w:jc w:val="left"/>
      </w:pPr>
      <w:r>
        <w:rPr>
          <w:rFonts w:ascii="Times New Roman" w:hAnsi="Times New Roman" w:eastAsia="맑은 고딕"/>
          <w:b w:val="0"/>
          <w:sz w:val="22"/>
        </w:rPr>
        <w:t>본 연구는 정형 데이터 특화 딥러닝 모델인 TabNet의 인스턴스 어텐션과 트리 부스팅 모델인 XGBoost의 SHAP 지역 기여도를 동의 기반(agreement-aware) 으로 인스턴스 수준에서 융합한 신규 컨텍스트를 설계하고, 이를 거대언어모델(LLM)의 검색 증강 생성(Retrieval-Augmented Generation, RAG) 파이프라인에 입력하여 신용평가 결과의 자연어 설명 리포트를 자동 생성하는 시스템을 제안한다. 융합 컨텍스트는 SHAP 상위 변수와 어텐션 상위 변수를 동의 그룹(agreed)·SHAP 단독(shap_only)·어텐션 단독(attention_only) 의 세 그룹으로 분해한 JSON 형식으로 구성되며, Anthropic Claude Sonnet 4.5와 Google Gemini 2.5 Flash 두 LLM에 동시 입력되어 한국어 자연어 설명을 생성한다.</w:t>
      </w:r>
    </w:p>
    <w:p>
      <w:pPr>
        <w:spacing w:line="480" w:lineRule="auto" w:before="0" w:after="120"/>
        <w:ind w:firstLine="283"/>
        <w:jc w:val="left"/>
      </w:pPr>
      <w:r>
        <w:rPr>
          <w:rFonts w:ascii="Times New Roman" w:hAnsi="Times New Roman" w:eastAsia="맑은 고딕"/>
          <w:b w:val="0"/>
          <w:sz w:val="22"/>
        </w:rPr>
        <w:t>본 연구는 Kaggle Home Credit Default Risk(307,511명, 214 변수)를 주 데이터셋으로 활용하고, UCI German Credit(1,000명, 63 변수)에 동일 파이프라인을 이식하여 일반화 가능성을 검증한다. 평가 체계는 룰 기반 충실성·환각률 측정, mDeBERTa 다국어 자연어 추론(NLI) 모델 기반 함의도, Anthropic과 Google 두 모델의 교차 LLM G-Eval (factual·completeness·sensitive·style 4차원), 그리고 신용 전문가·고객·규제기관 3-페르소나 LLM 대리 평가의 4-tier 구조로 설계되며, Kamiran-Calders Reweighing 기반의 공정성 보정 또한 함께 적용한다.</w:t>
      </w:r>
    </w:p>
    <w:p>
      <w:pPr>
        <w:spacing w:line="480" w:lineRule="auto" w:before="0" w:after="120"/>
        <w:ind w:firstLine="283"/>
        <w:jc w:val="left"/>
      </w:pPr>
      <w:r>
        <w:rPr>
          <w:rFonts w:ascii="Times New Roman" w:hAnsi="Times New Roman" w:eastAsia="맑은 고딕"/>
          <w:b w:val="0"/>
          <w:sz w:val="22"/>
        </w:rPr>
        <w:t>주요 결과는 다음과 같다. 첫째, 융합 컨텍스트는 두 데이터셋 모두에서 NLI 함의도 1위(0.625 / 0.711)를 달성하였으며 no_shap &lt; generic_rag &lt; shaponly &lt; fusion 의 단조 증가 패턴이 일관되게 관찰되었다. 둘째, hard constraint 조건에서 모든 모드의 환각률은 0%이지만 사실 기반 충실성과 값 정확 인용은 융합 모드에서만 일관되게 우월하였다. 셋째, Reweighing 공정성 보정은 보호 속성 4가지 조합 모두에서 4/5 규칙을 통과하면서 AUROC 손실은 0.004 이내에 머물렀다. 넷째, 페르소나 평가에서 사실성 1위는 fusion이지만 고객 명료성 1위는 generic_rag이며(2.67 vs 4.93), G-Eval 충실성은 데이터 복잡도에 따라 우월 모드가 정반대로 갈리는 응용 시나리오 × 평가 차원 × 데이터 복잡도 의 3차원 trade-off가 정량 입증되었다.</w:t>
      </w:r>
    </w:p>
    <w:p>
      <w:pPr>
        <w:spacing w:line="480" w:lineRule="auto" w:before="0" w:after="120"/>
        <w:ind w:firstLine="283"/>
        <w:jc w:val="left"/>
      </w:pPr>
      <w:r>
        <w:rPr>
          <w:rFonts w:ascii="Times New Roman" w:hAnsi="Times New Roman" w:eastAsia="맑은 고딕"/>
          <w:b w:val="0"/>
          <w:sz w:val="22"/>
        </w:rPr>
        <w:t>본 연구는 (1) 동의 기반 융합 컨텍스트의 신규 설계, (2) 4-tier 평가 프레임워크 구축, (3) 환각 차단과 fact-grounded 충실성의 분리 입증, (4) 두 데이터셋 일반화 검증, (5) 무손실 공정성 보정의 다섯 가지 학술적 기여를 제시하며, 모든 코드는 GitHub 공개 저장소(Tim-Green0/tabnet-xai-rag-credit)에 공개하여 재현 가능성을 확보한다.</w:t>
      </w:r>
    </w:p>
    <w:p>
      <w:pPr>
        <w:spacing w:line="480" w:lineRule="auto" w:before="0" w:after="120"/>
        <w:ind w:firstLine="283"/>
        <w:jc w:val="left"/>
      </w:pPr>
      <w:r>
        <w:rPr>
          <w:rFonts w:ascii="Times New Roman" w:hAnsi="Times New Roman" w:eastAsia="맑은 고딕"/>
          <w:b w:val="0"/>
          <w:sz w:val="22"/>
        </w:rPr>
        <w:t>중심어: 설명 가능한 인공지능, SHAP, TabNet 어텐션, 신용 평가, 거대언어모델, 검색 증강 생성, 공정성 보정, 교차 LLM 평가, 자연어 추론, Reweighing</w:t>
      </w:r>
    </w:p>
    <w:p>
      <w:r>
        <w:br w:type="page"/>
      </w:r>
    </w:p>
    <w:p>
      <w:pPr>
        <w:pStyle w:val="Heading1"/>
        <w:spacing w:line="480" w:lineRule="auto" w:before="480" w:after="360"/>
        <w:jc w:val="center"/>
      </w:pPr>
      <w:r>
        <w:rPr>
          <w:rFonts w:ascii="Times New Roman" w:hAnsi="Times New Roman" w:eastAsia="맑은 고딕"/>
          <w:b/>
          <w:color w:val="000000"/>
          <w:sz w:val="32"/>
        </w:rPr>
        <w:t>제 1 장. 서론</w:t>
      </w:r>
    </w:p>
    <w:p>
      <w:pPr>
        <w:pStyle w:val="Heading2"/>
        <w:spacing w:line="480" w:lineRule="auto" w:before="360" w:after="240"/>
        <w:jc w:val="left"/>
      </w:pPr>
      <w:r>
        <w:rPr>
          <w:rFonts w:ascii="Times New Roman" w:hAnsi="Times New Roman" w:eastAsia="맑은 고딕"/>
          <w:b/>
          <w:color w:val="000000"/>
          <w:sz w:val="26"/>
        </w:rPr>
        <w:t>1.1 연구 배경 및 목적</w:t>
      </w:r>
    </w:p>
    <w:p>
      <w:pPr>
        <w:spacing w:line="480" w:lineRule="auto" w:before="0" w:after="120"/>
        <w:ind w:firstLine="283"/>
        <w:jc w:val="left"/>
      </w:pPr>
      <w:r>
        <w:rPr>
          <w:rFonts w:ascii="Times New Roman" w:hAnsi="Times New Roman" w:eastAsia="맑은 고딕"/>
          <w:b w:val="0"/>
          <w:sz w:val="22"/>
        </w:rPr>
        <w:t>신용평가는 금융기관이 차주(借主)의 부도 위험을 사전에 평가하여 대출 심사·금리 결정·리스크 관리에 활용하는 핵심 의사결정 절차이다. 신용카드, 주택담보대출, 개인신용대출 등 다양한 금융 상품의 발전과 함께 신용평가의 중요성은 지속적으로 증가하여 왔으며, 정확하고 신뢰할 수 있는 평가 모델의 개발은 금융기관의 건전성 확보와 소비자 보호 양 측면에서 핵심 과제로 부각되고 있다 [1].</w:t>
      </w:r>
    </w:p>
    <w:p>
      <w:pPr>
        <w:spacing w:line="480" w:lineRule="auto" w:before="0" w:after="120"/>
        <w:ind w:firstLine="283"/>
        <w:jc w:val="left"/>
      </w:pPr>
      <w:r>
        <w:rPr>
          <w:rFonts w:ascii="Times New Roman" w:hAnsi="Times New Roman" w:eastAsia="맑은 고딕"/>
          <w:b w:val="0"/>
          <w:sz w:val="22"/>
        </w:rPr>
        <w:t>전통적인 신용평가는 FICO 점수와 같은 점수 기반 모델을 활용하여 신용 이력, 부채 비율, 상환 내역 등의 변수를 선형 결합한 단순 가산 점수로 차주의 신용도를 산정하여 왔다 [2]. 이러한 점수 기반 시스템은 해석 용이성과 투명성 측면에서 장점을 가지지만, 비선형적 패턴이나 변수 간 복잡한 상호작용을 충분히 반영하지 못한다는 근본적 한계를 지닌다. 이러한 한계를 극복하기 위하여 최근 머신러닝 기반 신용평가 모델이 활발히 연구되어 왔으며, 특히 그래디언트 부스팅 트리 계열의 XGBoost [3], LightGBM 등은 정확도와 속도 양 측면에서 우수한 성능을 보이며 사실상의 표준 모델로 자리잡았다. 더 나아가 정형 데이터 특화 딥러닝 모델인 TabNet [4]은 어텐션 기반의 변수 선택 메커니즘을 통해 인스턴스 수준의 해석 가능성을 제공하여 신용평가 분야에서도 새로운 가능성을 제시하고 있다.</w:t>
      </w:r>
    </w:p>
    <w:p>
      <w:pPr>
        <w:spacing w:line="480" w:lineRule="auto" w:before="0" w:after="120"/>
        <w:ind w:firstLine="283"/>
        <w:jc w:val="left"/>
      </w:pPr>
      <w:r>
        <w:rPr>
          <w:rFonts w:ascii="Times New Roman" w:hAnsi="Times New Roman" w:eastAsia="맑은 고딕"/>
          <w:b w:val="0"/>
          <w:sz w:val="22"/>
        </w:rPr>
        <w:t>그러나 머신러닝 기반 신용평가 모델은 예측 성능이 향상될수록 모델 내부의 의사결정 과정이 복잡해져 사용자에게 결과를 설명하기 어려워지는 블랙박스 문제를 동반한다. 이는 단순히 학술적 문제에 그치지 않으며, 유럽연합 일반 데이터 보호 규정(GDPR) 제22조의 자동화된 의사결정에 대한 설명 받을 권리나 우리나라 금융위원회·금융감독원의 금융 분야 AI 가이드라인과 같은 규제 차원에서도 명시적 의무로 부과되고 있다 [5]. 따라서 신용평가 시스템은 높은 예측 정확도와 더불어 평가 결과를 차주에게 명확하게 설명할 수 있는 능력, 즉 설명 가능성(explainability) 을 동시에 충족해야 한다.</w:t>
      </w:r>
    </w:p>
    <w:p>
      <w:pPr>
        <w:spacing w:line="480" w:lineRule="auto" w:before="0" w:after="120"/>
        <w:ind w:firstLine="283"/>
        <w:jc w:val="left"/>
      </w:pPr>
      <w:r>
        <w:rPr>
          <w:rFonts w:ascii="Times New Roman" w:hAnsi="Times New Roman" w:eastAsia="맑은 고딕"/>
          <w:b w:val="0"/>
          <w:sz w:val="22"/>
        </w:rPr>
        <w:t>설명 가능한 인공지능(eXplainable AI, XAI) 분야에서는 SHAP(SHapley Additive exPlanations) [6]과 같은 기여도 기반 해석 기법이 사실상의 표준으로 자리잡았으며, TabNet의 어텐션 마스크와 같은 모델 내장형 해석 정보 또한 활발히 활용되고 있다. 그러나 이들 기법이 산출하는 결과는 본질적으로 변수별 수치 형태이므로, 일반 차주가 이해할 수 있는 자연어 설명으로 변환하기 위해서는 추가 단계가 필요하다. 최근 거대언어모델(Large Language Model, LLM)의 발전에 따라 ChatGPT, Claude, Gemini 등의 모델이 자연어 설명을 자동 생성할 수 있는 잠재력을 보여주고 있으며 [7], 검색 증강 생성(Retrieval-Augmented Generation, RAG) [8] 기법을 활용하여 모델 출력의 사실성을 일정 부분 보장할 수 있는 방법론이 제시되어 왔다.</w:t>
      </w:r>
    </w:p>
    <w:p>
      <w:pPr>
        <w:spacing w:line="480" w:lineRule="auto" w:before="0" w:after="120"/>
        <w:ind w:firstLine="283"/>
        <w:jc w:val="left"/>
      </w:pPr>
      <w:r>
        <w:rPr>
          <w:rFonts w:ascii="Times New Roman" w:hAnsi="Times New Roman" w:eastAsia="맑은 고딕"/>
          <w:b w:val="0"/>
          <w:sz w:val="22"/>
        </w:rPr>
        <w:t>그럼에도 불구하고, 정형 데이터 특화 모델 + XAI + LLM-RAG 의 결합을 신용평가 도메인에 적용한 종합적 연구는 아직까지 충분히 이루어지지 않은 상태이다. 특히 (1) SHAP과 TabNet 어텐션이라는 두 종류의 인스턴스 수준 해석 정보를 어떻게 융합하여 LLM 컨텍스트로 구성할 것인지, (2) LLM이 생성한 설명의 환각(hallucination) 위험을 어떻게 정량적으로 평가하고 통제할 것인지, (3) 도출된 설명이 신용평가의 다양한 이해관계자(전문가·고객·규제기관) 관점에서 어떤 trade-off를 보이는지에 대한 명확한 답이 부재한 상황이다.</w:t>
      </w:r>
    </w:p>
    <w:p>
      <w:pPr>
        <w:spacing w:line="480" w:lineRule="auto" w:before="0" w:after="120"/>
        <w:ind w:firstLine="283"/>
        <w:jc w:val="left"/>
      </w:pPr>
      <w:r>
        <w:rPr>
          <w:rFonts w:ascii="Times New Roman" w:hAnsi="Times New Roman" w:eastAsia="맑은 고딕"/>
          <w:b w:val="0"/>
          <w:sz w:val="22"/>
        </w:rPr>
        <w:t>본 연구는 이러한 학술적 공백을 메우는 것을 목적으로 한다. 구체적으로, XGBoost의 SHAP local 기여도와 TabNet의 인스턴스 수준 어텐션 마스크를 동의 기반(agreement-aware) 으로 융합한 신규 컨텍스트를 설계하고, 이를 LLM-RAG 파이프라인에 입력하여 신용평가 결과 설명 리포트를 자동 생성한다. 또한 룰 기반·자연어 추론(NLI) 기반·교차 LLM 평가(Cross-Judge G-Eval) 기반·페르소나 기반 4-tier 평가 체계를 구축하여 생성된 설명의 사실성·충실성·민감 정보 노출·이해관계자별 적합성을 정량 측정한다. 본 연구는 단일 데이터셋 검증의 한계를 넘어, Kaggle Home Credit Default Risk와 UCI German Credit 두 개의 공개 데이터셋에서 동일 메커니즘을 검증함으로써 메커니즘의 일반화 가능성을 정량적으로 확인한다.</w:t>
      </w:r>
    </w:p>
    <w:p>
      <w:pPr>
        <w:pStyle w:val="Heading2"/>
        <w:spacing w:line="480" w:lineRule="auto" w:before="360" w:after="240"/>
        <w:jc w:val="left"/>
      </w:pPr>
      <w:r>
        <w:rPr>
          <w:rFonts w:ascii="Times New Roman" w:hAnsi="Times New Roman" w:eastAsia="맑은 고딕"/>
          <w:b/>
          <w:color w:val="000000"/>
          <w:sz w:val="26"/>
        </w:rPr>
        <w:t>1.2 연구 동기 및 연구 질문</w:t>
      </w:r>
    </w:p>
    <w:p>
      <w:pPr>
        <w:spacing w:line="480" w:lineRule="auto" w:before="0" w:after="120"/>
        <w:ind w:firstLine="283"/>
        <w:jc w:val="left"/>
      </w:pPr>
      <w:r>
        <w:rPr>
          <w:rFonts w:ascii="Times New Roman" w:hAnsi="Times New Roman" w:eastAsia="맑은 고딕"/>
          <w:b w:val="0"/>
          <w:sz w:val="22"/>
        </w:rPr>
        <w:t>본 연구의 동기는 신용평가 도메인에서 기존 연구가 가지는 다음 다섯 가지 한계에서 출발한다.</w:t>
      </w:r>
    </w:p>
    <w:p>
      <w:pPr>
        <w:spacing w:line="480" w:lineRule="auto" w:before="0" w:after="120"/>
        <w:ind w:firstLine="283"/>
        <w:jc w:val="left"/>
      </w:pPr>
      <w:r>
        <w:rPr>
          <w:rFonts w:ascii="Times New Roman" w:hAnsi="Times New Roman" w:eastAsia="맑은 고딕"/>
          <w:b w:val="0"/>
          <w:sz w:val="22"/>
        </w:rPr>
        <w:t>첫째, TabNet 어텐션의 활용 부재이다. 기존 연구에서는 TabNet을 단독 예측 모델로 평가한 사례가 많으나, 어텐션 마스크가 제공하는 sparse한 변수 선택 정보를 다른 해석 기법(SHAP)과 결합하여 LLM 입력 컨텍스트로 활용한 사례는 거의 보이지 않는다. SHAP과 어텐션은 본질적으로 다른 해석 관점(전체 기여도 vs sparse 변수 선택)을 제공하므로, 두 정보의 동의 여부 자체가 의사결정의 신뢰도 신호로 활용될 수 있다.</w:t>
      </w:r>
    </w:p>
    <w:p>
      <w:pPr>
        <w:spacing w:line="480" w:lineRule="auto" w:before="0" w:after="120"/>
        <w:ind w:firstLine="283"/>
        <w:jc w:val="left"/>
      </w:pPr>
      <w:r>
        <w:rPr>
          <w:rFonts w:ascii="Times New Roman" w:hAnsi="Times New Roman" w:eastAsia="맑은 고딕"/>
          <w:b w:val="0"/>
          <w:sz w:val="22"/>
        </w:rPr>
        <w:t>둘째, LLM 환각 차단의 차별성 검증 부재이다. LLM 기반 자연어 설명 생성은 사실에 부합하지 않는 내용을 만들어내는 환각 현상을 본질적 위험으로 가지며, 신용평가와 같은 고위험 도메인에서는 이러한 환각이 즉각적인 신뢰 손상으로 이어진다. 단순한 hard constraint(예: "컨텍스트에 없는 변수는 생성 금지")만으로도 환각률을 충분히 낮출 수 있는데, 그렇다면 정교한 SHAP 기반 RAG의 차별성은 무엇인지에 대한 명확한 검증이 필요하다.</w:t>
      </w:r>
    </w:p>
    <w:p>
      <w:pPr>
        <w:spacing w:line="480" w:lineRule="auto" w:before="0" w:after="120"/>
        <w:ind w:firstLine="283"/>
        <w:jc w:val="left"/>
      </w:pPr>
      <w:r>
        <w:rPr>
          <w:rFonts w:ascii="Times New Roman" w:hAnsi="Times New Roman" w:eastAsia="맑은 고딕"/>
          <w:b w:val="0"/>
          <w:sz w:val="22"/>
        </w:rPr>
        <w:t>셋째, 공정성 보정의 신용평가 통합 부재이다. 신용평가는 성별·연령 등 보호 속성에 대한 4/5 규칙(80% rule) 기반의 공정성 평가가 의무화되어 있다. 그러나 공정성 보정 기법(Reweighing 등)을 신용평가 모델에 통합 적용하면서 동시에 모델 성능 손실을 최소화한 종합 사례는 충분하지 않다.</w:t>
      </w:r>
    </w:p>
    <w:p>
      <w:pPr>
        <w:spacing w:line="480" w:lineRule="auto" w:before="0" w:after="120"/>
        <w:ind w:firstLine="283"/>
        <w:jc w:val="left"/>
      </w:pPr>
      <w:r>
        <w:rPr>
          <w:rFonts w:ascii="Times New Roman" w:hAnsi="Times New Roman" w:eastAsia="맑은 고딕"/>
          <w:b w:val="0"/>
          <w:sz w:val="22"/>
        </w:rPr>
        <w:t>넷째, 단일 데이터셋의 일반화 한계이다. 대부분의 선행 연구는 단일 데이터셋(주로 Kaggle 또는 UCI 단일)에서만 평가가 이루어져 도출된 메커니즘이 데이터셋 특성에 의존하는지 일반 패턴인지 구별이 어렵다.</w:t>
      </w:r>
    </w:p>
    <w:p>
      <w:pPr>
        <w:spacing w:line="480" w:lineRule="auto" w:before="0" w:after="120"/>
        <w:ind w:firstLine="283"/>
        <w:jc w:val="left"/>
      </w:pPr>
      <w:r>
        <w:rPr>
          <w:rFonts w:ascii="Times New Roman" w:hAnsi="Times New Roman" w:eastAsia="맑은 고딕"/>
          <w:b w:val="0"/>
          <w:sz w:val="22"/>
        </w:rPr>
        <w:t>다섯째, 이해관계자별 평가 부재이다. 자연어 설명은 같은 내용이라도 신용 전문가·일반 고객·규제기관 등 이해관계자에 따라 적합성이 달라질 수 있으나, 다수 페르소나 관점의 평가 프레임워크는 충분히 정립되어 있지 않다.</w:t>
      </w:r>
    </w:p>
    <w:p>
      <w:pPr>
        <w:spacing w:line="480" w:lineRule="auto" w:before="0" w:after="120"/>
        <w:ind w:firstLine="283"/>
        <w:jc w:val="left"/>
      </w:pPr>
      <w:r>
        <w:rPr>
          <w:rFonts w:ascii="Times New Roman" w:hAnsi="Times New Roman" w:eastAsia="맑은 고딕"/>
          <w:b w:val="0"/>
          <w:sz w:val="22"/>
        </w:rPr>
        <w:t>이러한 한계를 바탕으로, 본 연구는 다음 네 가지 연구 질문(Research Question)을 설정한다.</w:t>
      </w:r>
    </w:p>
    <w:p>
      <w:pPr>
        <w:spacing w:line="480" w:lineRule="auto" w:before="0" w:after="120"/>
        <w:ind w:firstLine="283"/>
        <w:jc w:val="left"/>
      </w:pPr>
      <w:r>
        <w:rPr>
          <w:rFonts w:ascii="Times New Roman" w:hAnsi="Times New Roman" w:eastAsia="맑은 고딕"/>
          <w:b w:val="0"/>
          <w:sz w:val="22"/>
        </w:rPr>
        <w:t>• RQ1. XGBoost의 SHAP local 기여도와 TabNet 어텐션 마스크를 동의 기반으로 융합한 컨텍스트가 LLM 자연어 설명의 사실 기반 충실성(fact-grounded faithfulness) 을 향상시키는가?</w:t>
      </w:r>
    </w:p>
    <w:p>
      <w:pPr>
        <w:spacing w:line="480" w:lineRule="auto" w:before="0" w:after="120"/>
        <w:ind w:firstLine="283"/>
        <w:jc w:val="left"/>
      </w:pPr>
      <w:r>
        <w:rPr>
          <w:rFonts w:ascii="Times New Roman" w:hAnsi="Times New Roman" w:eastAsia="맑은 고딕"/>
          <w:b w:val="0"/>
          <w:sz w:val="22"/>
        </w:rPr>
        <w:t>• RQ2. Hard constraint만으로 충분한 환각 차단이 가능한 상황에서, SHAP 기반 RAG와 본 연구의 fusion 컨텍스트는 어떠한 차별적 가치를 제공하는가?</w:t>
      </w:r>
    </w:p>
    <w:p>
      <w:pPr>
        <w:spacing w:line="480" w:lineRule="auto" w:before="0" w:after="120"/>
        <w:ind w:firstLine="283"/>
        <w:jc w:val="left"/>
      </w:pPr>
      <w:r>
        <w:rPr>
          <w:rFonts w:ascii="Times New Roman" w:hAnsi="Times New Roman" w:eastAsia="맑은 고딕"/>
          <w:b w:val="0"/>
          <w:sz w:val="22"/>
        </w:rPr>
        <w:t>• RQ3. Reweighing 기반 사전 처리(pre-processing) 공정성 보정이 신용평가 모델의 예측 성능 손실 없이 보호 속성 4/5 규칙을 통과시킬 수 있는가?</w:t>
      </w:r>
    </w:p>
    <w:p>
      <w:pPr>
        <w:spacing w:line="480" w:lineRule="auto" w:before="0" w:after="120"/>
        <w:ind w:firstLine="283"/>
        <w:jc w:val="left"/>
      </w:pPr>
      <w:r>
        <w:rPr>
          <w:rFonts w:ascii="Times New Roman" w:hAnsi="Times New Roman" w:eastAsia="맑은 고딕"/>
          <w:b w:val="0"/>
          <w:sz w:val="22"/>
        </w:rPr>
        <w:t>• RQ4. 본 연구의 fusion 메커니즘은 다른 데이터셋(UCI German Credit)에서도 일관된 패턴으로 작동하는가, 그리고 신용 전문가·고객·규제기관 페르소나 관점에서 어떤 trade-off가 관찰되는가?</w:t>
      </w:r>
    </w:p>
    <w:p>
      <w:pPr>
        <w:pStyle w:val="Heading2"/>
        <w:spacing w:line="480" w:lineRule="auto" w:before="360" w:after="240"/>
        <w:jc w:val="left"/>
      </w:pPr>
      <w:r>
        <w:rPr>
          <w:rFonts w:ascii="Times New Roman" w:hAnsi="Times New Roman" w:eastAsia="맑은 고딕"/>
          <w:b/>
          <w:color w:val="000000"/>
          <w:sz w:val="26"/>
        </w:rPr>
        <w:t>1.3 본 논문의 기여</w:t>
      </w:r>
    </w:p>
    <w:p>
      <w:pPr>
        <w:spacing w:line="480" w:lineRule="auto" w:before="0" w:after="120"/>
        <w:ind w:firstLine="283"/>
        <w:jc w:val="left"/>
      </w:pPr>
      <w:r>
        <w:rPr>
          <w:rFonts w:ascii="Times New Roman" w:hAnsi="Times New Roman" w:eastAsia="맑은 고딕"/>
          <w:b w:val="0"/>
          <w:sz w:val="22"/>
        </w:rPr>
        <w:t>본 연구는 위 네 가지 연구 질문에 대응하여 다음과 같은 다섯 가지 기여를 제시한다.</w:t>
      </w:r>
    </w:p>
    <w:p>
      <w:pPr>
        <w:spacing w:line="480" w:lineRule="auto" w:before="0" w:after="120"/>
        <w:ind w:firstLine="283"/>
        <w:jc w:val="left"/>
      </w:pPr>
      <w:r>
        <w:rPr>
          <w:rFonts w:ascii="Times New Roman" w:hAnsi="Times New Roman" w:eastAsia="맑은 고딕"/>
          <w:b w:val="0"/>
          <w:sz w:val="22"/>
        </w:rPr>
        <w:t>• C1. Agreement-aware Fusion Context의 신규 설계. XGBoost의 SHAP local 값과 TabNet 어텐션 마스크를 인스턴스 수준에서 통합하여 동의 그룹(agreed), SHAP 단독(shap_only), 어텐션 단독(attention_only) 세 그룹으로 분해한 JSON 컨텍스트를 신규 제안한다. 이 컨텍스트는 두 해석 모델의 합의 여부 자체를 LLM 프롬프트의 명시적 신호로 활용한다는 점에서 기존 연구와 차별화된다.</w:t>
      </w:r>
    </w:p>
    <w:p>
      <w:pPr>
        <w:spacing w:line="480" w:lineRule="auto" w:before="0" w:after="120"/>
        <w:ind w:firstLine="283"/>
        <w:jc w:val="left"/>
      </w:pPr>
      <w:r>
        <w:rPr>
          <w:rFonts w:ascii="Times New Roman" w:hAnsi="Times New Roman" w:eastAsia="맑은 고딕"/>
          <w:b w:val="0"/>
          <w:sz w:val="22"/>
        </w:rPr>
        <w:t>• C2. 4-tier 다중 평가 프레임워크 구축. 룰 기반 충실성(faithfulness)과 환각률(hallucination rate)을 1차 지표로 두고, mDeBERTa-v3 다국어 자연어 추론 모델 기반의 NLI 함의도(entailment rate)를 2차 의미적 지표로, 교차 LLM 평가(Cross-Judge G-Eval)에서 Anthropic Claude와 Google Gemini를 양방향 평가자로 사용한 4차원 척도(factual / completeness / sensitive / style)를 3차 LLM 평가 지표로, 마지막으로 신용 전문가·고객·규제기관 3개 페르소나 LLM 대리 평가를 4차 인간 친화 지표로 구성한 4-tier 평가 프레임워크를 구축한다.</w:t>
      </w:r>
    </w:p>
    <w:p>
      <w:pPr>
        <w:spacing w:line="480" w:lineRule="auto" w:before="0" w:after="120"/>
        <w:ind w:firstLine="283"/>
        <w:jc w:val="left"/>
      </w:pPr>
      <w:r>
        <w:rPr>
          <w:rFonts w:ascii="Times New Roman" w:hAnsi="Times New Roman" w:eastAsia="맑은 고딕"/>
          <w:b w:val="0"/>
          <w:sz w:val="22"/>
        </w:rPr>
        <w:t>• C3. 4-mode 컨텍스트 비교를 통한 차별성 입증. no_shap(원시 변수만), generic_rag(일반 도메인 지식 chunks 추가), shaponly(SHAP top-5만), fusion(본 연구의 동의 기반 융합) 네 가지 컨텍스트 모드를 동일한 인스턴스 30개에 적용하여 정량 비교한다. 그 결과 환각률 0%는 hard constraint만으로도 달성되지만, 사실 기반 의미적 충실성과 값 정확 인용은 fusion 모드에서만 일관되게 우월함을 입증한다.</w:t>
      </w:r>
    </w:p>
    <w:p>
      <w:pPr>
        <w:spacing w:line="480" w:lineRule="auto" w:before="0" w:after="120"/>
        <w:ind w:firstLine="283"/>
        <w:jc w:val="left"/>
      </w:pPr>
      <w:r>
        <w:rPr>
          <w:rFonts w:ascii="Times New Roman" w:hAnsi="Times New Roman" w:eastAsia="맑은 고딕"/>
          <w:b w:val="0"/>
          <w:sz w:val="22"/>
        </w:rPr>
        <w:t>• C4. 일반화 검증. 본 연구의 메커니즘을 Kaggle Home Credit Default Risk(약 30만 건, 214 특징) 외에 UCI German Credit(1,000건, 63 특징)에 동일 파이프라인으로 이식하여 검증한다. 두 데이터셋에서 SHAP × 어텐션의 Spearman 상관계수가 거의 동일하게 약한 양의 상관(ρ≈0.11)을 보이며, NLI 함의도 4-mode 단조 증가 패턴 또한 일관됨을 확인한다.</w:t>
      </w:r>
    </w:p>
    <w:p>
      <w:pPr>
        <w:spacing w:line="480" w:lineRule="auto" w:before="0" w:after="120"/>
        <w:ind w:firstLine="283"/>
        <w:jc w:val="left"/>
      </w:pPr>
      <w:r>
        <w:rPr>
          <w:rFonts w:ascii="Times New Roman" w:hAnsi="Times New Roman" w:eastAsia="맑은 고딕"/>
          <w:b w:val="0"/>
          <w:sz w:val="22"/>
        </w:rPr>
        <w:t>• C5. 공정성 보정의 통합 적용. Kamiran-Calders Reweighing [9]을 보호 속성 GENDER·AGE 두 가지에 대해 baseline 데이터셋과 보조 테이블 추가 데이터셋(aux) 양쪽에 적용하여, AUROC 손실 0.003 이하 수준에서 4가지 조합 모두 4/5 규칙(Disparate Impact ratio ≥ 0.8)을 통과시킴을 확인한다.</w:t>
      </w:r>
    </w:p>
    <w:p>
      <w:pPr>
        <w:spacing w:line="480" w:lineRule="auto" w:before="0" w:after="120"/>
        <w:ind w:firstLine="283"/>
        <w:jc w:val="left"/>
      </w:pPr>
      <w:r>
        <w:rPr>
          <w:rFonts w:ascii="Times New Roman" w:hAnsi="Times New Roman" w:eastAsia="맑은 고딕"/>
          <w:b w:val="0"/>
          <w:sz w:val="22"/>
        </w:rPr>
        <w:t>또한 본 연구는 모든 코드를 GitHub 공개 저장소(Tim-Green0/tabnet-xai-rag-credit)에 공개하여 재현 가능성을 확보한다.</w:t>
      </w:r>
    </w:p>
    <w:p>
      <w:pPr>
        <w:pStyle w:val="Heading2"/>
        <w:spacing w:line="480" w:lineRule="auto" w:before="360" w:after="240"/>
        <w:jc w:val="left"/>
      </w:pPr>
      <w:r>
        <w:rPr>
          <w:rFonts w:ascii="Times New Roman" w:hAnsi="Times New Roman" w:eastAsia="맑은 고딕"/>
          <w:b/>
          <w:color w:val="000000"/>
          <w:sz w:val="26"/>
        </w:rPr>
        <w:t>1.4 논문 구성</w:t>
      </w:r>
    </w:p>
    <w:p>
      <w:pPr>
        <w:spacing w:line="480" w:lineRule="auto" w:before="0" w:after="120"/>
        <w:ind w:firstLine="283"/>
        <w:jc w:val="left"/>
      </w:pPr>
      <w:r>
        <w:rPr>
          <w:rFonts w:ascii="Times New Roman" w:hAnsi="Times New Roman" w:eastAsia="맑은 고딕"/>
          <w:b w:val="0"/>
          <w:sz w:val="22"/>
        </w:rPr>
        <w:t>본 논문은 총 8개의 장으로 구성되며, 각 장의 주요 내용은 다음과 같다.</w:t>
      </w:r>
    </w:p>
    <w:p>
      <w:pPr>
        <w:spacing w:line="480" w:lineRule="auto" w:before="0" w:after="120"/>
        <w:ind w:firstLine="283"/>
        <w:jc w:val="left"/>
      </w:pPr>
      <w:r>
        <w:rPr>
          <w:rFonts w:ascii="Times New Roman" w:hAnsi="Times New Roman" w:eastAsia="맑은 고딕"/>
          <w:b w:val="0"/>
          <w:sz w:val="22"/>
        </w:rPr>
        <w:t>제2장 이론적 배경에서는 신용평가 시스템의 일반 이론, 머신러닝·딥러닝 기반 신용 리스크 예측 연구의 동향, SHAP과 TabNet 어텐션 등 설명 가능한 인공지능 기법, 거대언어모델 기반 자연어 설명과 RAG의 원리, 신용평가 분야에서의 공정성 평가 및 보정 기법, 그리고 LLM 평가 방법론(G-Eval, NLI 기반 함의도 평가)을 차례로 다룬다.</w:t>
      </w:r>
    </w:p>
    <w:p>
      <w:pPr>
        <w:spacing w:line="480" w:lineRule="auto" w:before="0" w:after="120"/>
        <w:ind w:firstLine="283"/>
        <w:jc w:val="left"/>
      </w:pPr>
      <w:r>
        <w:rPr>
          <w:rFonts w:ascii="Times New Roman" w:hAnsi="Times New Roman" w:eastAsia="맑은 고딕"/>
          <w:b w:val="0"/>
          <w:sz w:val="22"/>
        </w:rPr>
        <w:t>제3장 데이터 및 전처리에서는 본 연구에서 활용한 두 가지 공개 데이터셋(Kaggle Home Credit Default Risk와 UCI German Credit)의 특성, 탐색적 데이터 분석 결과, 그리고 결측값 처리·범주형 변수 인코딩·데이터 분할 등 전처리 정책을 상세히 기술한다.</w:t>
      </w:r>
    </w:p>
    <w:p>
      <w:pPr>
        <w:spacing w:line="480" w:lineRule="auto" w:before="0" w:after="120"/>
        <w:ind w:firstLine="283"/>
        <w:jc w:val="left"/>
      </w:pPr>
      <w:r>
        <w:rPr>
          <w:rFonts w:ascii="Times New Roman" w:hAnsi="Times New Roman" w:eastAsia="맑은 고딕"/>
          <w:b w:val="0"/>
          <w:sz w:val="22"/>
        </w:rPr>
        <w:t>제4장 연구 방법론에서는 본 연구가 제안하는 시스템의 4단계 파이프라인 구조를 제시한 후, XGBoost와 TabNet 예측 모델 학습 과정, SHAP local과 TabNet 어텐션 마스크 추출 방법, 동의 기반 융합 컨텍스트 의 설계 원리와 JSON 구조, LLM-RAG 자연어 설명 생성을 위한 프롬프트 설계와 hard constraint 정책, 그리고 Reweighing 기반 공정성 보정 기법을 구체적으로 설명한다.</w:t>
      </w:r>
    </w:p>
    <w:p>
      <w:pPr>
        <w:spacing w:line="480" w:lineRule="auto" w:before="0" w:after="120"/>
        <w:ind w:firstLine="283"/>
        <w:jc w:val="left"/>
      </w:pPr>
      <w:r>
        <w:rPr>
          <w:rFonts w:ascii="Times New Roman" w:hAnsi="Times New Roman" w:eastAsia="맑은 고딕"/>
          <w:b w:val="0"/>
          <w:sz w:val="22"/>
        </w:rPr>
        <w:t>제5장 평가 프레임워크에서는 본 연구의 4-tier 평가 체계를 다룬다. 모델 성능 지표(AUROC, AUPRC, KS, F1)와 룰 기반 충실성·환각률 측정 방법, mDeBERTa-NLI 함의도 평가, 교차 LLM G-Eval 4차원 척도, 3 페르소나 대리 평가, 그리고 공정성 평가 지표(Demographic Parity, Equal Opportunity, Disparate Impact)를 차례로 정의한다.</w:t>
      </w:r>
    </w:p>
    <w:p>
      <w:pPr>
        <w:spacing w:line="480" w:lineRule="auto" w:before="0" w:after="120"/>
        <w:ind w:firstLine="283"/>
        <w:jc w:val="left"/>
      </w:pPr>
      <w:r>
        <w:rPr>
          <w:rFonts w:ascii="Times New Roman" w:hAnsi="Times New Roman" w:eastAsia="맑은 고딕"/>
          <w:b w:val="0"/>
          <w:sz w:val="22"/>
        </w:rPr>
        <w:t>제6장 분석 결과에서는 본 연구의 모든 실험 결과를 통합 보고한다. 모델 성능 비교(5-fold CV), SHAP × 어텐션 일관성 분석, 4-mode 자연어 설명 평가, 페르소나별 trade-off, 공정성 보정 결과, 그리고 UCI German Credit에서의 일반화 검증 결과를 포함한다.</w:t>
      </w:r>
    </w:p>
    <w:p>
      <w:pPr>
        <w:spacing w:line="480" w:lineRule="auto" w:before="0" w:after="120"/>
        <w:ind w:firstLine="283"/>
        <w:jc w:val="left"/>
      </w:pPr>
      <w:r>
        <w:rPr>
          <w:rFonts w:ascii="Times New Roman" w:hAnsi="Times New Roman" w:eastAsia="맑은 고딕"/>
          <w:b w:val="0"/>
          <w:sz w:val="22"/>
        </w:rPr>
        <w:t>제7장 논의에서는 본 연구가 도출한 핵심 발견을 정리하고, 본 연구의 한계(소표본, 정식 IRB 인간평가의 부재, hard constraint 의존성 등)를 honest reporting 의 관점에서 명시적으로 보고한다. 또한 audit·고객 응대 등 응용 시나리오별 모드 선택 가이드라인과 향후 연구 방향을 제시한다.</w:t>
      </w:r>
    </w:p>
    <w:p>
      <w:pPr>
        <w:spacing w:line="480" w:lineRule="auto" w:before="0" w:after="120"/>
        <w:ind w:firstLine="283"/>
        <w:jc w:val="left"/>
      </w:pPr>
      <w:r>
        <w:rPr>
          <w:rFonts w:ascii="Times New Roman" w:hAnsi="Times New Roman" w:eastAsia="맑은 고딕"/>
          <w:b w:val="0"/>
          <w:sz w:val="22"/>
        </w:rPr>
        <w:t>제8장 결론 및 시사점에서는 본 연구의 학술적·산업적 기여를 요약하고 마무리한다.</w:t>
      </w:r>
    </w:p>
    <w:p>
      <w:r>
        <w:br w:type="page"/>
      </w:r>
    </w:p>
    <w:p>
      <w:pPr>
        <w:pStyle w:val="Heading1"/>
        <w:spacing w:line="480" w:lineRule="auto" w:before="480" w:after="360"/>
        <w:jc w:val="center"/>
      </w:pPr>
      <w:r>
        <w:rPr>
          <w:rFonts w:ascii="Times New Roman" w:hAnsi="Times New Roman" w:eastAsia="맑은 고딕"/>
          <w:b/>
          <w:color w:val="000000"/>
          <w:sz w:val="32"/>
        </w:rPr>
        <w:t>제 2 장. 이론적 배경</w:t>
      </w:r>
    </w:p>
    <w:p>
      <w:pPr>
        <w:pStyle w:val="Heading2"/>
        <w:spacing w:line="480" w:lineRule="auto" w:before="360" w:after="240"/>
        <w:jc w:val="left"/>
      </w:pPr>
      <w:r>
        <w:rPr>
          <w:rFonts w:ascii="Times New Roman" w:hAnsi="Times New Roman" w:eastAsia="맑은 고딕"/>
          <w:b/>
          <w:color w:val="000000"/>
          <w:sz w:val="26"/>
        </w:rPr>
        <w:t>2.1 신용평가 시스템의 이론적 배경</w:t>
      </w:r>
    </w:p>
    <w:p>
      <w:pPr>
        <w:spacing w:line="480" w:lineRule="auto" w:before="0" w:after="120"/>
        <w:ind w:firstLine="283"/>
        <w:jc w:val="left"/>
      </w:pPr>
      <w:r>
        <w:rPr>
          <w:rFonts w:ascii="Times New Roman" w:hAnsi="Times New Roman" w:eastAsia="맑은 고딕"/>
          <w:b w:val="0"/>
          <w:sz w:val="22"/>
        </w:rPr>
        <w:t>전통적인 신용평가 모델은 차주의 부도 가능성을 0~1 범위의 확률 또는 정수 점수로 출력하는 이진 분류 시스템으로 정의할 수 있다 [10]. 미국의 FICO 점수가 대표적인 예로, 신용 이력의 길이, 부채 잔액, 결제 이력, 신용 활용률, 새 신용 거래 비중 등 다섯 가지 주요 항목을 가중 합산하여 300~850 점 범위의 정수 점수를 산출한다. 이러한 점수 기반 시스템은 모델 구조가 단순하고 해석이 용이하다는 장점이 있으며, 차주에게 평가 결과의 근거를 제시하기 쉽다는 점에서 금융 규제 측면에서도 선호되어 왔다.</w:t>
      </w:r>
    </w:p>
    <w:p>
      <w:pPr>
        <w:spacing w:line="480" w:lineRule="auto" w:before="0" w:after="120"/>
        <w:ind w:firstLine="283"/>
        <w:jc w:val="left"/>
      </w:pPr>
      <w:r>
        <w:rPr>
          <w:rFonts w:ascii="Times New Roman" w:hAnsi="Times New Roman" w:eastAsia="맑은 고딕"/>
          <w:b w:val="0"/>
          <w:sz w:val="22"/>
        </w:rPr>
        <w:t>본 연구에서 활용하는 두 데이터셋은 이러한 신용평가의 두 가지 대표 유형을 반영한다. Kaggle Home Credit Default Risk [11]는 무담보 개인 대출 신청 데이터로, 신청 시점의 소득·고용 정보·기존 신용 이력 등을 변수로 갖는다. UCI German Credit [12]은 독일 마르크(DM) 통화를 사용하는 1990년대 표준 신용 평가 데이터로, 체크 계좌 잔액·저축 상태·재직 기간·대출 목적 등 21개의 변수로 구성된다. 두 데이터셋 모두 차주의 부도 여부(0/1)를 목표 변수로 하는 이진 분류 문제로 정형화되어 있어, 본 연구의 메커니즘을 동일한 파이프라인으로 적용할 수 있다.</w:t>
      </w:r>
    </w:p>
    <w:p>
      <w:pPr>
        <w:spacing w:line="480" w:lineRule="auto" w:before="0" w:after="120"/>
        <w:ind w:firstLine="283"/>
        <w:jc w:val="left"/>
      </w:pPr>
      <w:r>
        <w:rPr>
          <w:rFonts w:ascii="Times New Roman" w:hAnsi="Times New Roman" w:eastAsia="맑은 고딕"/>
          <w:b w:val="0"/>
          <w:sz w:val="22"/>
        </w:rPr>
        <w:t>신용평가의 학술적 평가 지표로는 AUROC(Area Under the ROC Curve), KS(Kolmogorov-Smirnov) 통계량, AUPRC(Area Under the Precision-Recall Curve), F1 점수가 표준적으로 활용된다. 신용평가는 부도가 소수 클래스(class imbalance)이므로 단순 정확도(accuracy)보다는 AUPRC와 KS가 실무 의사결정에 더 의미 있는 지표로 평가된다 [10].</w:t>
      </w:r>
    </w:p>
    <w:p>
      <w:pPr>
        <w:pStyle w:val="Heading2"/>
        <w:spacing w:line="480" w:lineRule="auto" w:before="360" w:after="240"/>
        <w:jc w:val="left"/>
      </w:pPr>
      <w:r>
        <w:rPr>
          <w:rFonts w:ascii="Times New Roman" w:hAnsi="Times New Roman" w:eastAsia="맑은 고딕"/>
          <w:b/>
          <w:color w:val="000000"/>
          <w:sz w:val="26"/>
        </w:rPr>
        <w:t>2.2 머신러닝·딥러닝 기반 신용 리스크 예측 연구 동향</w:t>
      </w:r>
    </w:p>
    <w:p>
      <w:pPr>
        <w:spacing w:line="480" w:lineRule="auto" w:before="0" w:after="120"/>
        <w:ind w:firstLine="283"/>
        <w:jc w:val="left"/>
      </w:pPr>
      <w:r>
        <w:rPr>
          <w:rFonts w:ascii="Times New Roman" w:hAnsi="Times New Roman" w:eastAsia="맑은 고딕"/>
          <w:b w:val="0"/>
          <w:sz w:val="22"/>
        </w:rPr>
        <w:t>신용 리스크 예측 분야에서는 1990년대 후반부터 로지스틱 회귀, 의사결정나무, 서포트 벡터 머신(SVM) 등 전통적 머신러닝 모델이 활발히 연구되어 왔으며, 2010년대 이후 그래디언트 부스팅 트리 계열의 모델이 주류로 자리잡았다 [13]. 특히 XGBoost [3]는 정규화 손실 함수와 병렬 학습 구조를 통해 정확도와 학습 속도 양 측면에서 우수한 성능을 보이며, 2010년대 후반 Kaggle 등 다수의 신용평가 경진대회에서 우승 모델로 활용되어 사실상의 표준 모델로 자리잡았다. LightGBM과 CatBoost와 같은 후속 모델 또한 유사한 부스팅 원리에 기반하여 대규모 데이터에서의 학습 효율을 개선한 것으로 평가된다.</w:t>
      </w:r>
    </w:p>
    <w:p>
      <w:pPr>
        <w:spacing w:line="480" w:lineRule="auto" w:before="0" w:after="120"/>
        <w:ind w:firstLine="283"/>
        <w:jc w:val="left"/>
      </w:pPr>
      <w:r>
        <w:rPr>
          <w:rFonts w:ascii="Times New Roman" w:hAnsi="Times New Roman" w:eastAsia="맑은 고딕"/>
          <w:b w:val="0"/>
          <w:sz w:val="22"/>
        </w:rPr>
        <w:t>한편 정형 데이터(tabular data) 영역에서는 딥러닝 모델의 적용이 비교적 늦게 진행되었으며, MLP(Multi-Layer Perceptron)와 같은 단순한 구조로는 부스팅 트리 모델을 안정적으로 추월하지 못하는 한계가 보고되어 왔다 [14]. 이러한 상황에서 Arik과 Pfister가 2021년에 제안한 TabNet [4]은 정형 데이터에 특화된 sparse 어텐션 기반 변수 선택 메커니즘을 도입함으로써 부스팅 트리에 견줄 만한 성능을 달성하면서 동시에 인스턴스 수준의 해석 가능성을 제공할 수 있는 모델로 주목받았다. TabNet의 핵심 구성 요소인 sequential attention은 매 step마다 sparsemax 함수를 통해 일부 변수만을 선택하여 처리하므로, 결과적으로 산출되는 어텐션 마스크는 인스턴스별로 어떤 변수가 의사결정에 기여했는지를 직접적으로 나타낸다.</w:t>
      </w:r>
    </w:p>
    <w:p>
      <w:pPr>
        <w:spacing w:line="480" w:lineRule="auto" w:before="0" w:after="120"/>
        <w:ind w:firstLine="283"/>
        <w:jc w:val="left"/>
      </w:pPr>
      <w:r>
        <w:rPr>
          <w:rFonts w:ascii="Times New Roman" w:hAnsi="Times New Roman" w:eastAsia="맑은 고딕"/>
          <w:b w:val="0"/>
          <w:sz w:val="22"/>
        </w:rPr>
        <w:t>손지민(2024)의 연구 [15]는 본 연구와 동일한 학과·지도교수 환경에서 진행된 선행 연구로, HELOC 데이터셋 위에서 로지스틱 회귀, 의사결정나무, SVM, XGBoost, CNN, RNN 등 다양한 모델의 신용 리스크 예측 성능을 비교 분석하였다. 분석 결과 SVM과 하이퍼파라미터 튜닝을 거친 XGBoost가 머신러닝 모델 중 가장 우수한 성능을 보였으며, 딥러닝 모델에서는 RNN에 Dropout을 적용한 구조가 가장 안정적인 일반화 성능을 나타냄을 보고하였다. 본 연구는 손지민의 연구가 다룬 모델 성능 비교 의 관점을 넘어, 동일한 신용평가 도메인에서 예측 모델의 해석 정보 를 활용한 자연어 설명 생성으로 연구 범위를 확장한다는 점에서 차별성을 갖는다.</w:t>
      </w:r>
    </w:p>
    <w:p>
      <w:pPr>
        <w:pStyle w:val="Heading2"/>
        <w:spacing w:line="480" w:lineRule="auto" w:before="360" w:after="240"/>
        <w:jc w:val="left"/>
      </w:pPr>
      <w:r>
        <w:rPr>
          <w:rFonts w:ascii="Times New Roman" w:hAnsi="Times New Roman" w:eastAsia="맑은 고딕"/>
          <w:b/>
          <w:color w:val="000000"/>
          <w:sz w:val="26"/>
        </w:rPr>
        <w:t>2.3 설명 가능한 인공지능(XAI)</w:t>
      </w:r>
    </w:p>
    <w:p>
      <w:pPr>
        <w:pStyle w:val="Heading3"/>
        <w:spacing w:line="480" w:lineRule="auto" w:before="240" w:after="120"/>
        <w:jc w:val="left"/>
      </w:pPr>
      <w:r>
        <w:rPr>
          <w:rFonts w:ascii="Times New Roman" w:hAnsi="Times New Roman" w:eastAsia="맑은 고딕"/>
          <w:b/>
          <w:color w:val="000000"/>
          <w:sz w:val="22"/>
        </w:rPr>
        <w:t>2.3.1 SHAP</w:t>
      </w:r>
    </w:p>
    <w:p>
      <w:pPr>
        <w:spacing w:line="480" w:lineRule="auto" w:before="0" w:after="120"/>
        <w:ind w:firstLine="283"/>
        <w:jc w:val="left"/>
      </w:pPr>
      <w:r>
        <w:rPr>
          <w:rFonts w:ascii="Times New Roman" w:hAnsi="Times New Roman" w:eastAsia="맑은 고딕"/>
          <w:b w:val="0"/>
          <w:sz w:val="22"/>
        </w:rPr>
        <w:t>SHAP(SHapley Additive exPlanations) [6]은 게임 이론의 Shapley 값을 머신러닝 모델 해석에 적용한 기법으로, 각 변수가 모델의 예측 값에 기여한 양을 가산적(additive) 형태로 분해한다. 단일 인스턴스의 예측 f(x) 는 다음과 같이 표현된다.</w:t>
      </w:r>
    </w:p>
    <w:p>
      <w:pPr>
        <w:spacing w:line="360" w:lineRule="auto" w:before="120" w:after="120"/>
        <w:jc w:val="center"/>
      </w:pPr>
      <w:r>
        <w:rPr>
          <w:rFonts w:ascii="Times New Roman" w:hAnsi="Times New Roman" w:eastAsia="맑은 고딕"/>
          <w:b w:val="0"/>
          <w:i/>
          <w:sz w:val="22"/>
        </w:rPr>
        <w:t>수식 2-1: f(x) = phi_0 + sum_{i=1 to n} phi_i</w:t>
      </w:r>
    </w:p>
    <w:p>
      <w:pPr>
        <w:spacing w:line="480" w:lineRule="auto" w:before="0" w:after="120"/>
        <w:ind w:firstLine="283"/>
        <w:jc w:val="left"/>
      </w:pPr>
      <w:r>
        <w:rPr>
          <w:rFonts w:ascii="Times New Roman" w:hAnsi="Times New Roman" w:eastAsia="맑은 고딕"/>
          <w:b w:val="0"/>
          <w:sz w:val="22"/>
        </w:rPr>
        <w:t>여기서 phi_0 은 기준 예측값(base value)이며 phi_i 는 각 변수의 SHAP 기여도이다. SHAP의 핵심 강점은 가산성(local accuracy) 외에도 일관성(consistency)과 결측 값 처리(missingness) 등 여러 바람직한 성질을 동시에 만족한다는 점에 있다. 특히 트리 기반 모델에는 효율적인 다항 시간 알고리즘인 TreeSHAP이 제안되어 [16] 대규모 데이터에서도 합리적인 시간에 SHAP 값을 산출할 수 있다.</w:t>
      </w:r>
    </w:p>
    <w:p>
      <w:pPr>
        <w:spacing w:line="480" w:lineRule="auto" w:before="0" w:after="120"/>
        <w:ind w:firstLine="283"/>
        <w:jc w:val="left"/>
      </w:pPr>
      <w:r>
        <w:rPr>
          <w:rFonts w:ascii="Times New Roman" w:hAnsi="Times New Roman" w:eastAsia="맑은 고딕"/>
          <w:b w:val="0"/>
          <w:sz w:val="22"/>
        </w:rPr>
        <w:t>신용평가 분야에서 SHAP은 변수별 기여도의 절댓값 평균(mean(|SHAP|))을 통한 전역 해석(global interpretation) 과 단일 인스턴스에 대한 지역 해석(local interpretation) 양 측면에서 활발히 활용되고 있다. 본 연구에서는 SHAP local 값을 LLM 컨텍스트의 핵심 정보원으로 활용하며, 특히 부호(sign) 정보를 통해 부도 가능성을 높이는/낮추는 요인 의 구분을 자연어로 표현한다.</w:t>
      </w:r>
    </w:p>
    <w:p>
      <w:pPr>
        <w:pStyle w:val="Heading3"/>
        <w:spacing w:line="480" w:lineRule="auto" w:before="240" w:after="120"/>
        <w:jc w:val="left"/>
      </w:pPr>
      <w:r>
        <w:rPr>
          <w:rFonts w:ascii="Times New Roman" w:hAnsi="Times New Roman" w:eastAsia="맑은 고딕"/>
          <w:b/>
          <w:color w:val="000000"/>
          <w:sz w:val="22"/>
        </w:rPr>
        <w:t>2.3.2 TabNet의 인스턴스 수준 어텐션</w:t>
      </w:r>
    </w:p>
    <w:p>
      <w:pPr>
        <w:spacing w:line="480" w:lineRule="auto" w:before="0" w:after="120"/>
        <w:ind w:firstLine="283"/>
        <w:jc w:val="left"/>
      </w:pPr>
      <w:r>
        <w:rPr>
          <w:rFonts w:ascii="Times New Roman" w:hAnsi="Times New Roman" w:eastAsia="맑은 고딕"/>
          <w:b w:val="0"/>
          <w:sz w:val="22"/>
        </w:rPr>
        <w:t>TabNet [4]의 sequential attention은 모델 내부에서 산출되는 변수 선택 마스크로, 각 인스턴스에 대하여 N차원의 정규화된 가중치 벡터를 생성한다. 이 마스크는 SHAP과 달리 부호 정보(긍정/부정)를 포함하지 않으며 0~1 범위의 절대값으로만 제공된다. 따라서 어텐션 마스크는 어떤 변수가 주목되었는가에 대한 정보는 제공하지만 그 변수가 부도 위험을 높이는가 낮추는가에 대한 정보는 제공하지 않는다는 점에서 SHAP의 정보를 보완하는 상보적(complementary) 관계를 갖는다.</w:t>
      </w:r>
    </w:p>
    <w:p>
      <w:pPr>
        <w:spacing w:line="480" w:lineRule="auto" w:before="0" w:after="120"/>
        <w:ind w:firstLine="283"/>
        <w:jc w:val="left"/>
      </w:pPr>
      <w:r>
        <w:rPr>
          <w:rFonts w:ascii="Times New Roman" w:hAnsi="Times New Roman" w:eastAsia="맑은 고딕"/>
          <w:b w:val="0"/>
          <w:sz w:val="22"/>
        </w:rPr>
        <w:t>또한 TabNet 어텐션은 sparsemax 활성화 함수의 특성상 sparse 한 변수 선택을 유도한다. 이는 SHAP이 모든 변수에 대하여 0이 아닌 기여도를 산출하는 것과 대비되어, 두 기법이 본질적으로 다른 해석 관점을 제공함을 시사한다. 본 연구는 이 차이를 동의 기반 융합 컨텍스트 의 핵심 동기로 활용한다.</w:t>
      </w:r>
    </w:p>
    <w:p>
      <w:pPr>
        <w:pStyle w:val="Heading3"/>
        <w:spacing w:line="480" w:lineRule="auto" w:before="240" w:after="120"/>
        <w:jc w:val="left"/>
      </w:pPr>
      <w:r>
        <w:rPr>
          <w:rFonts w:ascii="Times New Roman" w:hAnsi="Times New Roman" w:eastAsia="맑은 고딕"/>
          <w:b/>
          <w:color w:val="000000"/>
          <w:sz w:val="22"/>
        </w:rPr>
        <w:t>2.3.3 SHAP과 어텐션의 일관성에 관한 선행 연구</w:t>
      </w:r>
    </w:p>
    <w:p>
      <w:pPr>
        <w:spacing w:line="480" w:lineRule="auto" w:before="0" w:after="120"/>
        <w:ind w:firstLine="283"/>
        <w:jc w:val="left"/>
      </w:pPr>
      <w:r>
        <w:rPr>
          <w:rFonts w:ascii="Times New Roman" w:hAnsi="Times New Roman" w:eastAsia="맑은 고딕"/>
          <w:b w:val="0"/>
          <w:sz w:val="22"/>
        </w:rPr>
        <w:t>XAI 분야에서는 attention이 진정한 모델 해석으로 신뢰될 수 있는지에 대한 논쟁이 지속되어 왔다 [17]. Jain과 Wallace는 Attention is not Explanation 에서 어텐션 가중치가 SHAP과 같은 기여도 기반 해석과 항상 일치하지는 않음을 실험적으로 보였으며, 이는 어텐션을 단독 해석 도구로 활용하는 것이 위험할 수 있음을 시사한다. 그러나 동일한 비판이 다른 관점에서는 서로 다른 해석 모델의 융합 의 가치를 강조하는 근거가 될 수 있다. 즉 SHAP과 어텐션이 동시에 주목한 변수는 두 해석 모델 모두가 동의한 강한 신호로 해석될 수 있으며, 이는 단일 해석 모델보다 더 신뢰할 수 있는 의사결정 근거가 된다.</w:t>
      </w:r>
    </w:p>
    <w:p>
      <w:pPr>
        <w:spacing w:line="480" w:lineRule="auto" w:before="0" w:after="120"/>
        <w:ind w:firstLine="283"/>
        <w:jc w:val="left"/>
      </w:pPr>
      <w:r>
        <w:rPr>
          <w:rFonts w:ascii="Times New Roman" w:hAnsi="Times New Roman" w:eastAsia="맑은 고딕"/>
          <w:b w:val="0"/>
          <w:sz w:val="22"/>
        </w:rPr>
        <w:t>본 연구는 이 관점을 채택하여 동의 기반(agreement-aware) 융합 컨텍스트를 설계하며, SHAP top-k와 TabNet 어텐션 top-k의 교집합·차집합을 명시적으로 분류한 정보를 LLM 프롬프트에 전달한다.</w:t>
      </w:r>
    </w:p>
    <w:p>
      <w:pPr>
        <w:pStyle w:val="Heading2"/>
        <w:spacing w:line="480" w:lineRule="auto" w:before="360" w:after="240"/>
        <w:jc w:val="left"/>
      </w:pPr>
      <w:r>
        <w:rPr>
          <w:rFonts w:ascii="Times New Roman" w:hAnsi="Times New Roman" w:eastAsia="맑은 고딕"/>
          <w:b/>
          <w:color w:val="000000"/>
          <w:sz w:val="26"/>
        </w:rPr>
        <w:t>2.4 거대언어모델 기반 자연어 설명과 RAG</w:t>
      </w:r>
    </w:p>
    <w:p>
      <w:pPr>
        <w:pStyle w:val="Heading3"/>
        <w:spacing w:line="480" w:lineRule="auto" w:before="240" w:after="120"/>
        <w:jc w:val="left"/>
      </w:pPr>
      <w:r>
        <w:rPr>
          <w:rFonts w:ascii="Times New Roman" w:hAnsi="Times New Roman" w:eastAsia="맑은 고딕"/>
          <w:b/>
          <w:color w:val="000000"/>
          <w:sz w:val="22"/>
        </w:rPr>
        <w:t>2.4.1 LLM과 검색 증강 생성(RAG)</w:t>
      </w:r>
    </w:p>
    <w:p>
      <w:pPr>
        <w:spacing w:line="480" w:lineRule="auto" w:before="0" w:after="120"/>
        <w:ind w:firstLine="283"/>
        <w:jc w:val="left"/>
      </w:pPr>
      <w:r>
        <w:rPr>
          <w:rFonts w:ascii="Times New Roman" w:hAnsi="Times New Roman" w:eastAsia="맑은 고딕"/>
          <w:b w:val="0"/>
          <w:sz w:val="22"/>
        </w:rPr>
        <w:t>거대언어모델(Large Language Model, LLM)은 수백억~수천억 개 매개변수를 갖는 트랜스포머(Transformer) 기반의 시퀀스 생성 모델로, 자연어 이해와 생성 양 측면에서 인간 수준에 근접한 성능을 보이며 다양한 응용 분야에서 활용되고 있다 [7]. 본 연구에서는 Anthropic Claude Sonnet 4.5와 Google Gemini 2.5 Flash 두 모델을 동시에 활용하여 모델 의존성을 줄이고 cross-LLM 비교를 통한 robust한 결과를 얻고자 한다.</w:t>
      </w:r>
    </w:p>
    <w:p>
      <w:pPr>
        <w:spacing w:line="480" w:lineRule="auto" w:before="0" w:after="120"/>
        <w:ind w:firstLine="283"/>
        <w:jc w:val="left"/>
      </w:pPr>
      <w:r>
        <w:rPr>
          <w:rFonts w:ascii="Times New Roman" w:hAnsi="Times New Roman" w:eastAsia="맑은 고딕"/>
          <w:b w:val="0"/>
          <w:sz w:val="22"/>
        </w:rPr>
        <w:t>LLM의 자연어 생성 능력은 강력하지만, 모델이 학습 데이터에 없는 정보를 환각(hallucination) 하여 생성하는 본질적 위험을 동반한다 [18]. 신용평가와 같은 고위험 도메인에서 환각은 즉각적인 신뢰 손상으로 이어지므로 차단이 필수적이다. 검색 증강 생성(Retrieval-Augmented Generation, RAG) [8]은 LLM의 입력 컨텍스트에 외부 지식 자료를 검색·삽입함으로써 환각을 줄이는 핵심 기법으로, 신용평가에서는 변수 정의·도메인 지식·SHAP 해석 정보 등을 컨텍스트에 명시적으로 포함하여 LLM이 사실에 기반한 설명을 생성하도록 유도할 수 있다.</w:t>
      </w:r>
    </w:p>
    <w:p>
      <w:pPr>
        <w:spacing w:line="480" w:lineRule="auto" w:before="0" w:after="120"/>
        <w:ind w:firstLine="283"/>
        <w:jc w:val="left"/>
      </w:pPr>
      <w:r>
        <w:rPr>
          <w:rFonts w:ascii="Times New Roman" w:hAnsi="Times New Roman" w:eastAsia="맑은 고딕"/>
          <w:b w:val="0"/>
          <w:sz w:val="22"/>
        </w:rPr>
        <w:t>본 연구의 fusion 컨텍스트는 RAG의 일반 원리를 따르되, 인스턴스별 SHAP local 값과 TabNet 어텐션을 retrieval 의 결과로 간주하여 LLM에 전달하는 신용평가 특화 변형으로 이해할 수 있다.</w:t>
      </w:r>
    </w:p>
    <w:p>
      <w:pPr>
        <w:pStyle w:val="Heading3"/>
        <w:spacing w:line="480" w:lineRule="auto" w:before="240" w:after="120"/>
        <w:jc w:val="left"/>
      </w:pPr>
      <w:r>
        <w:rPr>
          <w:rFonts w:ascii="Times New Roman" w:hAnsi="Times New Roman" w:eastAsia="맑은 고딕"/>
          <w:b/>
          <w:color w:val="000000"/>
          <w:sz w:val="22"/>
        </w:rPr>
        <w:t>2.4.2 환각의 정의와 정량 평가</w:t>
      </w:r>
    </w:p>
    <w:p>
      <w:pPr>
        <w:spacing w:line="480" w:lineRule="auto" w:before="0" w:after="120"/>
        <w:ind w:firstLine="283"/>
        <w:jc w:val="left"/>
      </w:pPr>
      <w:r>
        <w:rPr>
          <w:rFonts w:ascii="Times New Roman" w:hAnsi="Times New Roman" w:eastAsia="맑은 고딕"/>
          <w:b w:val="0"/>
          <w:sz w:val="22"/>
        </w:rPr>
        <w:t>자연어 생성에서의 환각은 입력 컨텍스트에 없는 사실의 생성 으로 정의되며 [18], 측정 방법에 따라 (1) 룰 기반 토큰 매칭, (2) NLI 기반 의미적 함의도, (3) LLM 기반 평가 등 다양한 접근이 존재한다. 룰 기반 환각률은 LLM 출력에 등장한 특정 패턴(예: 영문 대문자 변수명)이 입력 컨텍스트에 명시된 변수 집합에 속하는지 검사하여 산출되며, 검색이 빠르고 결정적이라는 장점이 있지만 표현의 다양성을 충분히 잡지 못한다는 한계가 있다. NLI 기반 평가는 컨텍스트를 전제(premise), LLM 출력을 가설(hypothesis) 로 간주하여 함의(entailment)/중립(neutral)/모순(contradiction) 분포를 측정하며, 의미적 일관성을 정량화할 수 있다는 점에서 룰 기반의 한계를 보완한다.</w:t>
      </w:r>
    </w:p>
    <w:p>
      <w:pPr>
        <w:spacing w:line="480" w:lineRule="auto" w:before="0" w:after="120"/>
        <w:ind w:firstLine="283"/>
        <w:jc w:val="left"/>
      </w:pPr>
      <w:r>
        <w:rPr>
          <w:rFonts w:ascii="Times New Roman" w:hAnsi="Times New Roman" w:eastAsia="맑은 고딕"/>
          <w:b w:val="0"/>
          <w:sz w:val="22"/>
        </w:rPr>
        <w:t>LLM 평가에서 자주 활용되는 G-Eval [19]은 평가용 프롬프트를 통해 또 다른 LLM(judge)이 평가 대상 LLM(target)의 출력을 다차원 척도로 점수화하는 LLM-as-a-Judge 패러다임이다. 본 연구에서는 Anthropic Claude를 judge로, Google Gemini를 target으로(또는 그 반대로) 교차 평가함으로써 self-bias를 회피한다.</w:t>
      </w:r>
    </w:p>
    <w:p>
      <w:pPr>
        <w:pStyle w:val="Heading2"/>
        <w:spacing w:line="480" w:lineRule="auto" w:before="360" w:after="240"/>
        <w:jc w:val="left"/>
      </w:pPr>
      <w:r>
        <w:rPr>
          <w:rFonts w:ascii="Times New Roman" w:hAnsi="Times New Roman" w:eastAsia="맑은 고딕"/>
          <w:b/>
          <w:color w:val="000000"/>
          <w:sz w:val="26"/>
        </w:rPr>
        <w:t>2.5 신용평가의 공정성</w:t>
      </w:r>
    </w:p>
    <w:p>
      <w:pPr>
        <w:pStyle w:val="Heading3"/>
        <w:spacing w:line="480" w:lineRule="auto" w:before="240" w:after="120"/>
        <w:jc w:val="left"/>
      </w:pPr>
      <w:r>
        <w:rPr>
          <w:rFonts w:ascii="Times New Roman" w:hAnsi="Times New Roman" w:eastAsia="맑은 고딕"/>
          <w:b/>
          <w:color w:val="000000"/>
          <w:sz w:val="22"/>
        </w:rPr>
        <w:t>2.5.1 4/5 규칙과 Disparate Impact</w:t>
      </w:r>
    </w:p>
    <w:p>
      <w:pPr>
        <w:spacing w:line="480" w:lineRule="auto" w:before="0" w:after="120"/>
        <w:ind w:firstLine="283"/>
        <w:jc w:val="left"/>
      </w:pPr>
      <w:r>
        <w:rPr>
          <w:rFonts w:ascii="Times New Roman" w:hAnsi="Times New Roman" w:eastAsia="맑은 고딕"/>
          <w:b w:val="0"/>
          <w:sz w:val="22"/>
        </w:rPr>
        <w:t>신용평가는 성별·연령·인종 등 보호 속성(protected attribute)에 대하여 차별적 영향이 없도록 평가되어야 한다. 미국 EEOC(Equal Employment Opportunity Commission)는 1978년 4/5 규칙(80% rule) [20]을 제시하였는데, 이는 보호 속성 그룹 간 합격률 비율(또는 본 연구에서는 부도 예측 비율)이 0.8 미만일 경우 불리한 영향(adverse impact) 으로 판단하는 규제 기준이다. 정량 지표로는 Disparate Impact ratio(DI ratio)가 활용되며 다음과 같이 정의된다.</w:t>
      </w:r>
    </w:p>
    <w:p>
      <w:pPr>
        <w:spacing w:line="360" w:lineRule="auto" w:before="120" w:after="120"/>
        <w:jc w:val="center"/>
      </w:pPr>
      <w:r>
        <w:rPr>
          <w:rFonts w:ascii="Times New Roman" w:hAnsi="Times New Roman" w:eastAsia="맑은 고딕"/>
          <w:b w:val="0"/>
          <w:i/>
          <w:sz w:val="22"/>
        </w:rPr>
        <w:t>수식 2-2: DI = P(ŷ=1 | protected) / P(ŷ=1 | non-protected)</w:t>
      </w:r>
    </w:p>
    <w:p>
      <w:pPr>
        <w:spacing w:line="480" w:lineRule="auto" w:before="0" w:after="120"/>
        <w:ind w:firstLine="283"/>
        <w:jc w:val="left"/>
      </w:pPr>
      <w:r>
        <w:rPr>
          <w:rFonts w:ascii="Times New Roman" w:hAnsi="Times New Roman" w:eastAsia="맑은 고딕"/>
          <w:b w:val="0"/>
          <w:sz w:val="22"/>
        </w:rPr>
        <w:t>DI 값이 [0.8, 1.25] 범위 내에 있으면 4/5 규칙을 통과한 것으로 간주된다.</w:t>
      </w:r>
    </w:p>
    <w:p>
      <w:pPr>
        <w:spacing w:line="480" w:lineRule="auto" w:before="0" w:after="120"/>
        <w:ind w:firstLine="283"/>
        <w:jc w:val="left"/>
      </w:pPr>
      <w:r>
        <w:rPr>
          <w:rFonts w:ascii="Times New Roman" w:hAnsi="Times New Roman" w:eastAsia="맑은 고딕"/>
          <w:b w:val="0"/>
          <w:sz w:val="22"/>
        </w:rPr>
        <w:t>이외에도 Demographic Parity(DP, 그룹 간 양성 예측률 차이)와 Equal Opportunity(EO, 양성 클래스에 한정한 진양성률 차이) 등이 추가 공정성 지표로 활용된다 [21]. DP는 그룹 간 절대 차이만을 보지만 EO는 양성 클래스의 정확도까지 반영한다는 점에서 보완 관계에 있다.</w:t>
      </w:r>
    </w:p>
    <w:p>
      <w:pPr>
        <w:pStyle w:val="Heading3"/>
        <w:spacing w:line="480" w:lineRule="auto" w:before="240" w:after="120"/>
        <w:jc w:val="left"/>
      </w:pPr>
      <w:r>
        <w:rPr>
          <w:rFonts w:ascii="Times New Roman" w:hAnsi="Times New Roman" w:eastAsia="맑은 고딕"/>
          <w:b/>
          <w:color w:val="000000"/>
          <w:sz w:val="22"/>
        </w:rPr>
        <w:t>2.5.2 공정성 보정 기법</w:t>
      </w:r>
    </w:p>
    <w:p>
      <w:pPr>
        <w:spacing w:line="480" w:lineRule="auto" w:before="0" w:after="120"/>
        <w:ind w:firstLine="283"/>
        <w:jc w:val="left"/>
      </w:pPr>
      <w:r>
        <w:rPr>
          <w:rFonts w:ascii="Times New Roman" w:hAnsi="Times New Roman" w:eastAsia="맑은 고딕"/>
          <w:b w:val="0"/>
          <w:sz w:val="22"/>
        </w:rPr>
        <w:t>공정성 보정(fairness mitigation)은 일반적으로 (1) 사전 처리(pre-processing), (2) 학습 도중 처리(in-processing), (3) 사후 처리(post-processing) 의 세 단계로 분류된다.</w:t>
      </w:r>
    </w:p>
    <w:p>
      <w:pPr>
        <w:spacing w:line="480" w:lineRule="auto" w:before="0" w:after="120"/>
        <w:ind w:firstLine="283"/>
        <w:jc w:val="left"/>
      </w:pPr>
      <w:r>
        <w:rPr>
          <w:rFonts w:ascii="Times New Roman" w:hAnsi="Times New Roman" w:eastAsia="맑은 고딕"/>
          <w:b w:val="0"/>
          <w:sz w:val="22"/>
        </w:rPr>
        <w:t>Kamiran-Calders Reweighing [9]은 대표적인 사전 처리 기법으로, 학습 데이터의 각 인스턴스에 가중치를 재할당하여 보호 속성과 결과 변수 간의 통계적 독립성을 회복시킨다. 이 가중치는 다음 식으로 산출된다.</w:t>
      </w:r>
    </w:p>
    <w:p>
      <w:pPr>
        <w:spacing w:line="360" w:lineRule="auto" w:before="120" w:after="120"/>
        <w:jc w:val="center"/>
      </w:pPr>
      <w:r>
        <w:rPr>
          <w:rFonts w:ascii="Times New Roman" w:hAnsi="Times New Roman" w:eastAsia="맑은 고딕"/>
          <w:b w:val="0"/>
          <w:i/>
          <w:sz w:val="22"/>
        </w:rPr>
        <w:t>수식 2-3: w(x) = [P(s) × P(y)] / P(s, y)</w:t>
      </w:r>
    </w:p>
    <w:p>
      <w:pPr>
        <w:spacing w:line="480" w:lineRule="auto" w:before="0" w:after="120"/>
        <w:ind w:firstLine="283"/>
        <w:jc w:val="left"/>
      </w:pPr>
      <w:r>
        <w:rPr>
          <w:rFonts w:ascii="Times New Roman" w:hAnsi="Times New Roman" w:eastAsia="맑은 고딕"/>
          <w:b w:val="0"/>
          <w:sz w:val="22"/>
        </w:rPr>
        <w:t>여기서 s 는 보호 속성, y 는 결과 변수이다. Reweighing은 학습 알고리즘의 변경 없이 단순히 가중치만을 재계산하므로 적용이 간단하면서도 강력한 효과를 보인다.</w:t>
      </w:r>
    </w:p>
    <w:p>
      <w:pPr>
        <w:spacing w:line="480" w:lineRule="auto" w:before="0" w:after="120"/>
        <w:ind w:firstLine="283"/>
        <w:jc w:val="left"/>
      </w:pPr>
      <w:r>
        <w:rPr>
          <w:rFonts w:ascii="Times New Roman" w:hAnsi="Times New Roman" w:eastAsia="맑은 고딕"/>
          <w:b w:val="0"/>
          <w:sz w:val="22"/>
        </w:rPr>
        <w:t>도중 처리 기법으로는 Microsoft의 Fairlearn [22] 라이브러리가 제공하는 Exponentiated Gradient 가 있다. 이는 라그랑주 형태의 공정성 제약을 학습 알고리즘에 직접 통합하여 보호 속성 간 결과 분포의 편차를 명시적으로 최소화하는 방식이다. 본 연구에서는 사전 처리(Reweighing)와 도중 처리(Fairlearn DP·EO) 모두를 비교 적용하여, 신용평가 도메인에서 어느 기법이 가장 효과적인지 정량 평가한다.</w:t>
      </w:r>
    </w:p>
    <w:p>
      <w:pPr>
        <w:pStyle w:val="Heading2"/>
        <w:spacing w:line="480" w:lineRule="auto" w:before="360" w:after="240"/>
        <w:jc w:val="left"/>
      </w:pPr>
      <w:r>
        <w:rPr>
          <w:rFonts w:ascii="Times New Roman" w:hAnsi="Times New Roman" w:eastAsia="맑은 고딕"/>
          <w:b/>
          <w:color w:val="000000"/>
          <w:sz w:val="26"/>
        </w:rPr>
        <w:t>2.6 LLM 평가 방법론</w:t>
      </w:r>
    </w:p>
    <w:p>
      <w:pPr>
        <w:pStyle w:val="Heading3"/>
        <w:spacing w:line="480" w:lineRule="auto" w:before="240" w:after="120"/>
        <w:jc w:val="left"/>
      </w:pPr>
      <w:r>
        <w:rPr>
          <w:rFonts w:ascii="Times New Roman" w:hAnsi="Times New Roman" w:eastAsia="맑은 고딕"/>
          <w:b/>
          <w:color w:val="000000"/>
          <w:sz w:val="22"/>
        </w:rPr>
        <w:t>2.6.1 G-Eval과 LLM-as-a-Judge</w:t>
      </w:r>
    </w:p>
    <w:p>
      <w:pPr>
        <w:spacing w:line="480" w:lineRule="auto" w:before="0" w:after="120"/>
        <w:ind w:firstLine="283"/>
        <w:jc w:val="left"/>
      </w:pPr>
      <w:r>
        <w:rPr>
          <w:rFonts w:ascii="Times New Roman" w:hAnsi="Times New Roman" w:eastAsia="맑은 고딕"/>
          <w:b w:val="0"/>
          <w:sz w:val="22"/>
        </w:rPr>
        <w:t>G-Eval [19]은 LLM이 평가자(judge) 역할을 수행하여 다른 LLM의 출력을 4~5차원의 정량 척도로 점수화하는 평가 프레임워크이다. 평가 차원은 일반적으로 (1) 사실 정확성(factual accuracy), (2) 충실성(completeness/coherence), (3) 민감 정보 노출(sensitivity/safety), (4) 표현 적합성(style)으로 구성된다. 본 연구는 이 4차원 척도를 신용평가 도메인에 맞게 변용하여 factual_accuracy / completeness / sensitive_leak / style 의 4개 항목을 1~5점 척도로 평가한다.</w:t>
      </w:r>
    </w:p>
    <w:p>
      <w:pPr>
        <w:spacing w:line="480" w:lineRule="auto" w:before="0" w:after="120"/>
        <w:ind w:firstLine="283"/>
        <w:jc w:val="left"/>
      </w:pPr>
      <w:r>
        <w:rPr>
          <w:rFonts w:ascii="Times New Roman" w:hAnsi="Times New Roman" w:eastAsia="맑은 고딕"/>
          <w:b w:val="0"/>
          <w:sz w:val="22"/>
        </w:rPr>
        <w:t>LLM-as-a-Judge 패러다임의 본질적 한계는 self-bias 로, 평가자가 자신과 동일하거나 유사한 모델의 출력을 더 우호적으로 평가하는 경향이다 [23]. 이를 완화하기 위해 본 연구는 교차 평가(cross-judge) 를 도입하여 Claude가 Gemini의 출력을, Gemini가 Claude의 출력을 평가하도록 구성한다.</w:t>
      </w:r>
    </w:p>
    <w:p>
      <w:pPr>
        <w:pStyle w:val="Heading3"/>
        <w:spacing w:line="480" w:lineRule="auto" w:before="240" w:after="120"/>
        <w:jc w:val="left"/>
      </w:pPr>
      <w:r>
        <w:rPr>
          <w:rFonts w:ascii="Times New Roman" w:hAnsi="Times New Roman" w:eastAsia="맑은 고딕"/>
          <w:b/>
          <w:color w:val="000000"/>
          <w:sz w:val="22"/>
        </w:rPr>
        <w:t>2.6.2 NLI 기반 의미적 충실성 평가</w:t>
      </w:r>
    </w:p>
    <w:p>
      <w:pPr>
        <w:spacing w:line="480" w:lineRule="auto" w:before="0" w:after="120"/>
        <w:ind w:firstLine="283"/>
        <w:jc w:val="left"/>
      </w:pPr>
      <w:r>
        <w:rPr>
          <w:rFonts w:ascii="Times New Roman" w:hAnsi="Times New Roman" w:eastAsia="맑은 고딕"/>
          <w:b w:val="0"/>
          <w:sz w:val="22"/>
        </w:rPr>
        <w:t>자연어 추론(Natural Language Inference, NLI) 모델은 두 문장의 관계를 함의(entailment), 중립(neutral), 모순(contradiction) 으로 분류하는 분류기이다. 본 연구는 다국어 NLI 모델인 mDeBERTa-v3-base-xnli [24]를 활용하여 한국어 문장에 대한 함의도 평가를 수행한다. 평가 대상 LLM 출력의 각 문장을 가설로, fusion 컨텍스트의 자연어 변환을 전제로 입력하여 함의 확률의 평균을 instance-level 충실성 지표로 사용한다.</w:t>
      </w:r>
    </w:p>
    <w:p>
      <w:pPr>
        <w:pStyle w:val="Heading3"/>
        <w:spacing w:line="480" w:lineRule="auto" w:before="240" w:after="120"/>
        <w:jc w:val="left"/>
      </w:pPr>
      <w:r>
        <w:rPr>
          <w:rFonts w:ascii="Times New Roman" w:hAnsi="Times New Roman" w:eastAsia="맑은 고딕"/>
          <w:b/>
          <w:color w:val="000000"/>
          <w:sz w:val="22"/>
        </w:rPr>
        <w:t>2.6.3 페르소나 기반 평가</w:t>
      </w:r>
    </w:p>
    <w:p>
      <w:pPr>
        <w:spacing w:line="480" w:lineRule="auto" w:before="0" w:after="120"/>
        <w:ind w:firstLine="283"/>
        <w:jc w:val="left"/>
      </w:pPr>
      <w:r>
        <w:rPr>
          <w:rFonts w:ascii="Times New Roman" w:hAnsi="Times New Roman" w:eastAsia="맑은 고딕"/>
          <w:b w:val="0"/>
          <w:sz w:val="22"/>
        </w:rPr>
        <w:t>자연어 설명은 동일한 내용이라도 신용 전문가·고객·규제기관 등 이해관계자 관점에 따라 적합성이 달라진다. 정식 인간 평가(human evaluation)는 IRB(Institutional Review Board) 승인이 필요하여 연구 단계에서 즉각 적용이 어려우므로, 본 연구는 LLM을 페르소나 평가자로 대리(proxy)하여 활용하는 pilot human-proxy 접근을 채택한다 [25]. 3개의 페르소나(신용 전문가 / 고객 / 규제기관)에 대하여 신뢰도(trustworthiness), 명료도(clarity), 행동 가능성(actionability) 의 3가지 척도를 5점 만점으로 평가하도록 LLM judge에게 지시한다.</w:t>
      </w:r>
    </w:p>
    <w:p>
      <w:pPr>
        <w:spacing w:line="480" w:lineRule="auto" w:before="0" w:after="120"/>
        <w:ind w:firstLine="283"/>
        <w:jc w:val="left"/>
      </w:pPr>
      <w:r>
        <w:rPr>
          <w:rFonts w:ascii="Times New Roman" w:hAnsi="Times New Roman" w:eastAsia="맑은 고딕"/>
          <w:b w:val="0"/>
          <w:sz w:val="22"/>
        </w:rPr>
        <w:t>이상의 이론적 배경을 바탕으로, 본 연구는 다음 제3장에서 데이터셋과 전처리 정책을, 제4장에서 본 연구가 제안하는 4단계 파이프라인을 구체적으로 기술한다.</w:t>
      </w:r>
    </w:p>
    <w:p>
      <w:r>
        <w:br w:type="page"/>
      </w:r>
    </w:p>
    <w:p>
      <w:pPr>
        <w:pStyle w:val="Heading1"/>
        <w:spacing w:line="480" w:lineRule="auto" w:before="480" w:after="360"/>
        <w:jc w:val="center"/>
      </w:pPr>
      <w:r>
        <w:rPr>
          <w:rFonts w:ascii="Times New Roman" w:hAnsi="Times New Roman" w:eastAsia="맑은 고딕"/>
          <w:b/>
          <w:color w:val="000000"/>
          <w:sz w:val="32"/>
        </w:rPr>
        <w:t>제 3 장. 연구 방법론</w:t>
      </w:r>
    </w:p>
    <w:p>
      <w:pPr>
        <w:spacing w:line="480" w:lineRule="auto" w:before="0" w:after="240"/>
        <w:ind w:firstLine="283"/>
        <w:jc w:val="left"/>
      </w:pPr>
      <w:r>
        <w:rPr>
          <w:rFonts w:ascii="Times New Roman" w:hAnsi="Times New Roman" w:eastAsia="맑은 고딕"/>
          <w:b w:val="0"/>
          <w:sz w:val="22"/>
        </w:rPr>
        <w:t>본 장은 본 연구가 활용한 데이터와 전처리 정책(3.1), 예측·해석·융합·자연어 생성·공정성 보정으로 구성된 시스템 구조와 모델 설계(3.2), 그리고 4-tier 평가 프레임워크(3.3)를 통합 기술한다.</w:t>
      </w:r>
    </w:p>
    <w:p>
      <w:pPr>
        <w:spacing w:line="480" w:lineRule="auto" w:before="0" w:after="120"/>
        <w:ind w:firstLine="283"/>
        <w:jc w:val="left"/>
      </w:pPr>
      <w:r>
        <w:rPr>
          <w:rFonts w:ascii="Times New Roman" w:hAnsi="Times New Roman" w:eastAsia="맑은 고딕"/>
          <w:b w:val="0"/>
          <w:sz w:val="22"/>
        </w:rPr>
        <w:t>##### 3.1 (a) 데이터셋 개요</w:t>
      </w:r>
    </w:p>
    <w:p>
      <w:pPr>
        <w:spacing w:line="480" w:lineRule="auto" w:before="0" w:after="120"/>
        <w:ind w:firstLine="283"/>
        <w:jc w:val="left"/>
      </w:pPr>
      <w:r>
        <w:rPr>
          <w:rFonts w:ascii="Times New Roman" w:hAnsi="Times New Roman" w:eastAsia="맑은 고딕"/>
          <w:b w:val="0"/>
          <w:sz w:val="22"/>
        </w:rPr>
        <w:t>본 연구는 두 개의 공개 신용평가 데이터셋을 활용하여 메커니즘의 일반화 가능성을 검증한다. 첫 번째는 Kaggle Home Credit Default Risk [11]로 본 연구의 주(主) 데이터셋이며, 두 번째는 UCI German Credit [12]으로 일반화 검증용 부(副) 데이터셋이다. 두 데이터셋은 표본 규모, 결측 특성, 보호 속성 구성, 변수 의미 측면에서 상이한 특성을 가지므로, 본 연구의 메커니즘이 데이터셋 특성에 의존하는지 일반 패턴인지 구별하는 데 적합하다.</w:t>
      </w:r>
    </w:p>
    <w:p>
      <w:pPr>
        <w:spacing w:line="480" w:lineRule="auto" w:before="0" w:after="120"/>
        <w:ind w:firstLine="283"/>
        <w:jc w:val="left"/>
      </w:pPr>
      <w:r>
        <w:rPr>
          <w:rFonts w:ascii="Times New Roman" w:hAnsi="Times New Roman" w:eastAsia="맑은 고딕"/>
          <w:b w:val="0"/>
          <w:sz w:val="22"/>
        </w:rPr>
        <w:t>##### 3.1 (a) Kaggle Home Credit Default Risk</w:t>
      </w:r>
    </w:p>
    <w:p>
      <w:pPr>
        <w:spacing w:line="480" w:lineRule="auto" w:before="0" w:after="120"/>
        <w:ind w:firstLine="283"/>
        <w:jc w:val="left"/>
      </w:pPr>
      <w:r>
        <w:rPr>
          <w:rFonts w:ascii="Times New Roman" w:hAnsi="Times New Roman" w:eastAsia="맑은 고딕"/>
          <w:b w:val="0"/>
          <w:sz w:val="22"/>
        </w:rPr>
        <w:t>Home Credit Default Risk 데이터셋은 2018년 Kaggle에서 공개된 신용평가 경진대회 데이터로, Home Credit Group이 동유럽·아시아 지역에서 수집한 무담보 개인 대출 신청 정보로 구성된다. 본 연구는 이 데이터셋의 메인 테이블인 application_train.csv만을 활용하며, 총 307,511건의 대출 신청 인스턴스와 122개의 변수를 포함한다.</w:t>
      </w:r>
    </w:p>
    <w:p>
      <w:pPr>
        <w:spacing w:line="480" w:lineRule="auto" w:before="0" w:after="120"/>
        <w:ind w:firstLine="283"/>
        <w:jc w:val="left"/>
      </w:pPr>
      <w:r>
        <w:rPr>
          <w:rFonts w:ascii="Times New Roman" w:hAnsi="Times New Roman" w:eastAsia="맑은 고딕"/>
          <w:b w:val="0"/>
          <w:sz w:val="22"/>
        </w:rPr>
        <w:t>대출 신청 인스턴스 중 24,825건(8.07%)이 부도(TARGET = 1)로 라벨링되어 있어 클래스 불균형이 크다. 변수는 부동소수점형 65개, 정수형 41개, 문자열(범주형) 16개로 구성되며, 연속형 변수에는 외부 신용평가 점수 3개(EXT_SOURCE_1/2/3), 신청 금액(AMT_CREDIT), 연 소득(AMT_INCOME_TOTAL), 연 환산 상환액(AMT_ANNUITY), 출생일(DAYS_BIRTH, 음수), 재직 일수(DAYS_EMPLOYED, 음수) 등이 있고, 범주형 변수에는 성별(CODE_GENDER), 직업 분류(OCCUPATION_TYPE), 조직 분류(ORGANIZATION_TYPE), 주거 형태(NAME_HOUSING_TYPE) 등이 포함된다.</w:t>
      </w:r>
    </w:p>
    <w:p>
      <w:pPr>
        <w:spacing w:line="480" w:lineRule="auto" w:before="0" w:after="120"/>
        <w:ind w:firstLine="283"/>
        <w:jc w:val="left"/>
      </w:pPr>
      <w:r>
        <w:rPr>
          <w:rFonts w:ascii="Times New Roman" w:hAnsi="Times New Roman" w:eastAsia="맑은 고딕"/>
          <w:b w:val="0"/>
          <w:sz w:val="22"/>
        </w:rPr>
        <w:t>본 데이터셋의 가장 큰 특성은 결측률이 높다는 점이다. 122개 변수 중 67개가 결측을 포함하며, 41개 변수는 50% 이상의 결측률을 보인다. 이는 신청서에서 선택적으로 입력되는 항목(자녀 수, 거주지 등급 등)이 다수 포함되기 때문으로 해석된다.</w:t>
      </w:r>
    </w:p>
    <w:p>
      <w:pPr>
        <w:spacing w:line="480" w:lineRule="auto" w:before="0" w:after="120"/>
        <w:ind w:firstLine="283"/>
        <w:jc w:val="left"/>
      </w:pPr>
      <w:r>
        <w:rPr>
          <w:rFonts w:ascii="Times New Roman" w:hAnsi="Times New Roman" w:eastAsia="맑은 고딕"/>
          <w:b w:val="0"/>
          <w:sz w:val="22"/>
        </w:rPr>
        <w:t>보호 속성으로는 성별(CODE_GENDER)과 연령(DAYS_BIRTH로부터 산출)이 있다. 성별 분포는 여성 202,448건(65.8%), 남성 105,059건(34.2%), 미상(XNA) 4건이며, 부도율은 여성 7.0%, 남성 10.1%로 차이가 관찰된다. 연령은 평균 43.9세, 중앙값 43.1세로 분포한다.</w:t>
      </w:r>
    </w:p>
    <w:p>
      <w:pPr>
        <w:spacing w:line="480" w:lineRule="auto" w:before="0" w:after="120"/>
        <w:ind w:firstLine="283"/>
        <w:jc w:val="left"/>
      </w:pPr>
      <w:r>
        <w:rPr>
          <w:rFonts w:ascii="Times New Roman" w:hAnsi="Times New Roman" w:eastAsia="맑은 고딕"/>
          <w:b w:val="0"/>
          <w:sz w:val="22"/>
        </w:rPr>
        <w:t>##### 3.1 (b) UCI German Credit</w:t>
      </w:r>
    </w:p>
    <w:p>
      <w:pPr>
        <w:spacing w:line="480" w:lineRule="auto" w:before="0" w:after="120"/>
        <w:ind w:firstLine="283"/>
        <w:jc w:val="left"/>
      </w:pPr>
      <w:r>
        <w:rPr>
          <w:rFonts w:ascii="Times New Roman" w:hAnsi="Times New Roman" w:eastAsia="맑은 고딕"/>
          <w:b w:val="0"/>
          <w:sz w:val="22"/>
        </w:rPr>
        <w:t>UCI German Credit 데이터셋(Statlog (German Credit Data))은 1994년 H. Hofmann이 UCI Machine Learning Repository [12]에 등록한 1990년대 독일 신용평가 표준 데이터로, 총 1,000건의 대출 신청 인스턴스와 21개 변수로 구성된다. 본 연구는 sklearn.datasets.fetch_openml('credit-g', version=1)을 통해 데이터를 로드하며, 자동 캐싱을 통해 재현성을 확보한다.</w:t>
      </w:r>
    </w:p>
    <w:p>
      <w:pPr>
        <w:spacing w:line="480" w:lineRule="auto" w:before="0" w:after="120"/>
        <w:ind w:firstLine="283"/>
        <w:jc w:val="left"/>
      </w:pPr>
      <w:r>
        <w:rPr>
          <w:rFonts w:ascii="Times New Roman" w:hAnsi="Times New Roman" w:eastAsia="맑은 고딕"/>
          <w:b w:val="0"/>
          <w:sz w:val="22"/>
        </w:rPr>
        <w:t>목표 변수는 class 컬럼으로 양호(good) 700건, 불량(bad) 300건이며, 본 연구에서는 Home Credit과의 일관성을 위해 bad → 1, good → 0으로 정수화하여 부도율 30%로 정의한다. 이는 Home Credit의 8.07%보다 훨씬 높은 부도율로, 클래스 불균형이 상대적으로 약한 특성을 보인다.</w:t>
      </w:r>
    </w:p>
    <w:p>
      <w:pPr>
        <w:spacing w:line="480" w:lineRule="auto" w:before="0" w:after="120"/>
        <w:ind w:firstLine="283"/>
        <w:jc w:val="left"/>
      </w:pPr>
      <w:r>
        <w:rPr>
          <w:rFonts w:ascii="Times New Roman" w:hAnsi="Times New Roman" w:eastAsia="맑은 고딕"/>
          <w:b w:val="0"/>
          <w:sz w:val="22"/>
        </w:rPr>
        <w:t>변수 구성은 정수형 8개와 범주형 14개로, 정수형에는 대출 기간(duration, 개월), 대출 금액(credit_amount, 독일 마르크 DM), 분할 상환 비율(installment_commitment, %), 현 거주지 거주 기간(residence_since, 년), 나이(age), 기존 대출 건수(existing_credits), 부양 가족 수(num_dependents)가 포함되며, 범주형에는 체크 계좌 상태(checking_status), 신용 이력(credit_history), 대출 목적(purpose), 저축 상태(savings_status), 재직 기간(employment), 개인 신상(personal_status, 성별 결합), 외국인 노동자 여부(foreign_worker) 등이 포함된다.</w:t>
      </w:r>
    </w:p>
    <w:p>
      <w:pPr>
        <w:spacing w:line="480" w:lineRule="auto" w:before="0" w:after="120"/>
        <w:ind w:firstLine="283"/>
        <w:jc w:val="left"/>
      </w:pPr>
      <w:r>
        <w:rPr>
          <w:rFonts w:ascii="Times New Roman" w:hAnsi="Times New Roman" w:eastAsia="맑은 고딕"/>
          <w:b w:val="0"/>
          <w:sz w:val="22"/>
        </w:rPr>
        <w:t>본 데이터셋은 Home Credit과 달리 결측이 전혀 없으며(0건), 보호 속성으로는 나이(age), 성별(personal_status 컬럼에 결합되어 있어 본 연구에서는 별도의 GENDER 컬럼으로 분해), 외국인 노동자 여부(foreign_worker)가 있다. 본 연구에서는 personal_status의 4개 카테고리(male single, male div/sep, male mar/wid, female div/dep/mar)를 분해하여 남성 690건(69.0%), 여성 310건(31.0%)으로 정리하였으며, 부도율은 남성 27.7%, 여성 35.2%로 차이가 관찰된다.</w:t>
      </w:r>
    </w:p>
    <w:p>
      <w:pPr>
        <w:spacing w:line="480" w:lineRule="auto" w:before="0" w:after="120"/>
        <w:ind w:firstLine="283"/>
        <w:jc w:val="left"/>
      </w:pPr>
      <w:r>
        <w:rPr>
          <w:rFonts w:ascii="Times New Roman" w:hAnsi="Times New Roman" w:eastAsia="맑은 고딕"/>
          <w:b w:val="0"/>
          <w:sz w:val="22"/>
        </w:rPr>
        <w:t>##### 3.1 (c) 두 데이터셋의 비교</w:t>
      </w:r>
    </w:p>
    <w:p>
      <w:pPr>
        <w:spacing w:line="480" w:lineRule="auto" w:before="0" w:after="120"/>
        <w:ind w:firstLine="283"/>
        <w:jc w:val="left"/>
      </w:pPr>
      <w:r>
        <w:rPr>
          <w:rFonts w:ascii="Times New Roman" w:hAnsi="Times New Roman" w:eastAsia="맑은 고딕"/>
          <w:b w:val="0"/>
          <w:sz w:val="22"/>
        </w:rPr>
        <w:t>본 연구가 두 데이터셋을 동시에 활용하는 이유는 데이터 복잡도와 도메인 특성에 따른 메커니즘의 일반화 가능성을 검증 하기 위함이다. 표 3-1은 두 데이터셋의 핵심 특성을 비교한다.</w:t>
      </w:r>
    </w:p>
    <w:p>
      <w:pPr>
        <w:spacing w:line="480" w:lineRule="auto" w:before="0" w:after="120"/>
        <w:ind w:firstLine="283"/>
        <w:jc w:val="left"/>
      </w:pPr>
      <w:r>
        <w:rPr>
          <w:rFonts w:ascii="Times New Roman" w:hAnsi="Times New Roman" w:eastAsia="맑은 고딕"/>
          <w:b w:val="0"/>
          <w:sz w:val="22"/>
        </w:rPr>
        <w:t>표 3-1. 본 연구 활용 데이터셋 특성 비교</w:t>
      </w:r>
    </w:p>
    <w:tbl>
      <w:tblPr>
        <w:tblStyle w:val="LightGrid"/>
        <w:tblW w:type="auto" w:w="0"/>
        <w:tblLook w:firstColumn="1" w:firstRow="1" w:lastColumn="0" w:lastRow="0" w:noHBand="0" w:noVBand="1" w:val="04A0"/>
      </w:tblPr>
      <w:tblGrid>
        <w:gridCol w:w="3041"/>
        <w:gridCol w:w="3041"/>
        <w:gridCol w:w="3041"/>
      </w:tblGrid>
      <w:tr>
        <w:tc>
          <w:tcPr>
            <w:tcW w:type="dxa" w:w="3041"/>
          </w:tcPr>
          <w:p>
            <w:r>
              <w:rPr>
                <w:rFonts w:ascii="Times New Roman" w:hAnsi="Times New Roman" w:eastAsia="맑은 고딕"/>
                <w:b/>
                <w:sz w:val="20"/>
              </w:rPr>
              <w:t>항목</w:t>
            </w:r>
          </w:p>
        </w:tc>
        <w:tc>
          <w:tcPr>
            <w:tcW w:type="dxa" w:w="3041"/>
          </w:tcPr>
          <w:p>
            <w:r>
              <w:rPr>
                <w:rFonts w:ascii="Times New Roman" w:hAnsi="Times New Roman" w:eastAsia="맑은 고딕"/>
                <w:b/>
                <w:sz w:val="20"/>
              </w:rPr>
              <w:t>Home Credit Default Risk</w:t>
            </w:r>
          </w:p>
        </w:tc>
        <w:tc>
          <w:tcPr>
            <w:tcW w:type="dxa" w:w="3041"/>
          </w:tcPr>
          <w:p>
            <w:r>
              <w:rPr>
                <w:rFonts w:ascii="Times New Roman" w:hAnsi="Times New Roman" w:eastAsia="맑은 고딕"/>
                <w:b/>
                <w:sz w:val="20"/>
              </w:rPr>
              <w:t>UCI German Credit</w:t>
            </w:r>
          </w:p>
        </w:tc>
      </w:tr>
      <w:tr>
        <w:tc>
          <w:tcPr>
            <w:tcW w:type="dxa" w:w="3041"/>
          </w:tcPr>
          <w:p>
            <w:r>
              <w:rPr>
                <w:rFonts w:ascii="Times New Roman" w:hAnsi="Times New Roman" w:eastAsia="맑은 고딕"/>
                <w:b w:val="0"/>
                <w:sz w:val="20"/>
              </w:rPr>
              <w:t>출처</w:t>
            </w:r>
          </w:p>
        </w:tc>
        <w:tc>
          <w:tcPr>
            <w:tcW w:type="dxa" w:w="3041"/>
          </w:tcPr>
          <w:p>
            <w:r>
              <w:rPr>
                <w:rFonts w:ascii="Times New Roman" w:hAnsi="Times New Roman" w:eastAsia="맑은 고딕"/>
                <w:b w:val="0"/>
                <w:sz w:val="20"/>
              </w:rPr>
              <w:t>Kaggle (2018)</w:t>
            </w:r>
          </w:p>
        </w:tc>
        <w:tc>
          <w:tcPr>
            <w:tcW w:type="dxa" w:w="3041"/>
          </w:tcPr>
          <w:p>
            <w:r>
              <w:rPr>
                <w:rFonts w:ascii="Times New Roman" w:hAnsi="Times New Roman" w:eastAsia="맑은 고딕"/>
                <w:b w:val="0"/>
                <w:sz w:val="20"/>
              </w:rPr>
              <w:t>UCI ML Repository (1994)</w:t>
            </w:r>
          </w:p>
        </w:tc>
      </w:tr>
      <w:tr>
        <w:tc>
          <w:tcPr>
            <w:tcW w:type="dxa" w:w="3041"/>
          </w:tcPr>
          <w:p>
            <w:r>
              <w:rPr>
                <w:rFonts w:ascii="Times New Roman" w:hAnsi="Times New Roman" w:eastAsia="맑은 고딕"/>
                <w:b w:val="0"/>
                <w:sz w:val="20"/>
              </w:rPr>
              <w:t>인스턴스 수</w:t>
            </w:r>
          </w:p>
        </w:tc>
        <w:tc>
          <w:tcPr>
            <w:tcW w:type="dxa" w:w="3041"/>
          </w:tcPr>
          <w:p>
            <w:r>
              <w:rPr>
                <w:rFonts w:ascii="Times New Roman" w:hAnsi="Times New Roman" w:eastAsia="맑은 고딕"/>
                <w:b w:val="0"/>
                <w:sz w:val="20"/>
              </w:rPr>
              <w:t>307,511</w:t>
            </w:r>
          </w:p>
        </w:tc>
        <w:tc>
          <w:tcPr>
            <w:tcW w:type="dxa" w:w="3041"/>
          </w:tcPr>
          <w:p>
            <w:r>
              <w:rPr>
                <w:rFonts w:ascii="Times New Roman" w:hAnsi="Times New Roman" w:eastAsia="맑은 고딕"/>
                <w:b w:val="0"/>
                <w:sz w:val="20"/>
              </w:rPr>
              <w:t>1,000</w:t>
            </w:r>
          </w:p>
        </w:tc>
      </w:tr>
      <w:tr>
        <w:tc>
          <w:tcPr>
            <w:tcW w:type="dxa" w:w="3041"/>
          </w:tcPr>
          <w:p>
            <w:r>
              <w:rPr>
                <w:rFonts w:ascii="Times New Roman" w:hAnsi="Times New Roman" w:eastAsia="맑은 고딕"/>
                <w:b w:val="0"/>
                <w:sz w:val="20"/>
              </w:rPr>
              <w:t>변수 수 (원시)</w:t>
            </w:r>
          </w:p>
        </w:tc>
        <w:tc>
          <w:tcPr>
            <w:tcW w:type="dxa" w:w="3041"/>
          </w:tcPr>
          <w:p>
            <w:r>
              <w:rPr>
                <w:rFonts w:ascii="Times New Roman" w:hAnsi="Times New Roman" w:eastAsia="맑은 고딕"/>
                <w:b w:val="0"/>
                <w:sz w:val="20"/>
              </w:rPr>
              <w:t>122</w:t>
            </w:r>
          </w:p>
        </w:tc>
        <w:tc>
          <w:tcPr>
            <w:tcW w:type="dxa" w:w="3041"/>
          </w:tcPr>
          <w:p>
            <w:r>
              <w:rPr>
                <w:rFonts w:ascii="Times New Roman" w:hAnsi="Times New Roman" w:eastAsia="맑은 고딕"/>
                <w:b w:val="0"/>
                <w:sz w:val="20"/>
              </w:rPr>
              <w:t>21</w:t>
            </w:r>
          </w:p>
        </w:tc>
      </w:tr>
      <w:tr>
        <w:tc>
          <w:tcPr>
            <w:tcW w:type="dxa" w:w="3041"/>
          </w:tcPr>
          <w:p>
            <w:r>
              <w:rPr>
                <w:rFonts w:ascii="Times New Roman" w:hAnsi="Times New Roman" w:eastAsia="맑은 고딕"/>
                <w:b w:val="0"/>
                <w:sz w:val="20"/>
              </w:rPr>
              <w:t>변수 수 (전처리 후)</w:t>
            </w:r>
          </w:p>
        </w:tc>
        <w:tc>
          <w:tcPr>
            <w:tcW w:type="dxa" w:w="3041"/>
          </w:tcPr>
          <w:p>
            <w:r>
              <w:rPr>
                <w:rFonts w:ascii="Times New Roman" w:hAnsi="Times New Roman" w:eastAsia="맑은 고딕"/>
                <w:b w:val="0"/>
                <w:sz w:val="20"/>
              </w:rPr>
              <w:t>214</w:t>
            </w:r>
          </w:p>
        </w:tc>
        <w:tc>
          <w:tcPr>
            <w:tcW w:type="dxa" w:w="3041"/>
          </w:tcPr>
          <w:p>
            <w:r>
              <w:rPr>
                <w:rFonts w:ascii="Times New Roman" w:hAnsi="Times New Roman" w:eastAsia="맑은 고딕"/>
                <w:b w:val="0"/>
                <w:sz w:val="20"/>
              </w:rPr>
              <w:t>63</w:t>
            </w:r>
          </w:p>
        </w:tc>
      </w:tr>
      <w:tr>
        <w:tc>
          <w:tcPr>
            <w:tcW w:type="dxa" w:w="3041"/>
          </w:tcPr>
          <w:p>
            <w:r>
              <w:rPr>
                <w:rFonts w:ascii="Times New Roman" w:hAnsi="Times New Roman" w:eastAsia="맑은 고딕"/>
                <w:b w:val="0"/>
                <w:sz w:val="20"/>
              </w:rPr>
              <w:t>부도율</w:t>
            </w:r>
          </w:p>
        </w:tc>
        <w:tc>
          <w:tcPr>
            <w:tcW w:type="dxa" w:w="3041"/>
          </w:tcPr>
          <w:p>
            <w:r>
              <w:rPr>
                <w:rFonts w:ascii="Times New Roman" w:hAnsi="Times New Roman" w:eastAsia="맑은 고딕"/>
                <w:b w:val="0"/>
                <w:sz w:val="20"/>
              </w:rPr>
              <w:t>8.07%</w:t>
            </w:r>
          </w:p>
        </w:tc>
        <w:tc>
          <w:tcPr>
            <w:tcW w:type="dxa" w:w="3041"/>
          </w:tcPr>
          <w:p>
            <w:r>
              <w:rPr>
                <w:rFonts w:ascii="Times New Roman" w:hAnsi="Times New Roman" w:eastAsia="맑은 고딕"/>
                <w:b w:val="0"/>
                <w:sz w:val="20"/>
              </w:rPr>
              <w:t>30.00%</w:t>
            </w:r>
          </w:p>
        </w:tc>
      </w:tr>
      <w:tr>
        <w:tc>
          <w:tcPr>
            <w:tcW w:type="dxa" w:w="3041"/>
          </w:tcPr>
          <w:p>
            <w:r>
              <w:rPr>
                <w:rFonts w:ascii="Times New Roman" w:hAnsi="Times New Roman" w:eastAsia="맑은 고딕"/>
                <w:b w:val="0"/>
                <w:sz w:val="20"/>
              </w:rPr>
              <w:t>결측 컬럼 수</w:t>
            </w:r>
          </w:p>
        </w:tc>
        <w:tc>
          <w:tcPr>
            <w:tcW w:type="dxa" w:w="3041"/>
          </w:tcPr>
          <w:p>
            <w:r>
              <w:rPr>
                <w:rFonts w:ascii="Times New Roman" w:hAnsi="Times New Roman" w:eastAsia="맑은 고딕"/>
                <w:b w:val="0"/>
                <w:sz w:val="20"/>
              </w:rPr>
              <w:t>67 (전체 122 중)</w:t>
            </w:r>
          </w:p>
        </w:tc>
        <w:tc>
          <w:tcPr>
            <w:tcW w:type="dxa" w:w="3041"/>
          </w:tcPr>
          <w:p>
            <w:r>
              <w:rPr>
                <w:rFonts w:ascii="Times New Roman" w:hAnsi="Times New Roman" w:eastAsia="맑은 고딕"/>
                <w:b w:val="0"/>
                <w:sz w:val="20"/>
              </w:rPr>
              <w:t>0</w:t>
            </w:r>
          </w:p>
        </w:tc>
      </w:tr>
      <w:tr>
        <w:tc>
          <w:tcPr>
            <w:tcW w:type="dxa" w:w="3041"/>
          </w:tcPr>
          <w:p>
            <w:r>
              <w:rPr>
                <w:rFonts w:ascii="Times New Roman" w:hAnsi="Times New Roman" w:eastAsia="맑은 고딕"/>
                <w:b w:val="0"/>
                <w:sz w:val="20"/>
              </w:rPr>
              <w:t>50%+ 결측 컬럼</w:t>
            </w:r>
          </w:p>
        </w:tc>
        <w:tc>
          <w:tcPr>
            <w:tcW w:type="dxa" w:w="3041"/>
          </w:tcPr>
          <w:p>
            <w:r>
              <w:rPr>
                <w:rFonts w:ascii="Times New Roman" w:hAnsi="Times New Roman" w:eastAsia="맑은 고딕"/>
                <w:b w:val="0"/>
                <w:sz w:val="20"/>
              </w:rPr>
              <w:t>41</w:t>
            </w:r>
          </w:p>
        </w:tc>
        <w:tc>
          <w:tcPr>
            <w:tcW w:type="dxa" w:w="3041"/>
          </w:tcPr>
          <w:p>
            <w:r>
              <w:rPr>
                <w:rFonts w:ascii="Times New Roman" w:hAnsi="Times New Roman" w:eastAsia="맑은 고딕"/>
                <w:b w:val="0"/>
                <w:sz w:val="20"/>
              </w:rPr>
              <w:t>0</w:t>
            </w:r>
          </w:p>
        </w:tc>
      </w:tr>
      <w:tr>
        <w:tc>
          <w:tcPr>
            <w:tcW w:type="dxa" w:w="3041"/>
          </w:tcPr>
          <w:p>
            <w:r>
              <w:rPr>
                <w:rFonts w:ascii="Times New Roman" w:hAnsi="Times New Roman" w:eastAsia="맑은 고딕"/>
                <w:b w:val="0"/>
                <w:sz w:val="20"/>
              </w:rPr>
              <w:t>보호 속성</w:t>
            </w:r>
          </w:p>
        </w:tc>
        <w:tc>
          <w:tcPr>
            <w:tcW w:type="dxa" w:w="3041"/>
          </w:tcPr>
          <w:p>
            <w:r>
              <w:rPr>
                <w:rFonts w:ascii="Times New Roman" w:hAnsi="Times New Roman" w:eastAsia="맑은 고딕"/>
                <w:b w:val="0"/>
                <w:sz w:val="20"/>
              </w:rPr>
              <w:t>성별, 연령</w:t>
            </w:r>
          </w:p>
        </w:tc>
        <w:tc>
          <w:tcPr>
            <w:tcW w:type="dxa" w:w="3041"/>
          </w:tcPr>
          <w:p>
            <w:r>
              <w:rPr>
                <w:rFonts w:ascii="Times New Roman" w:hAnsi="Times New Roman" w:eastAsia="맑은 고딕"/>
                <w:b w:val="0"/>
                <w:sz w:val="20"/>
              </w:rPr>
              <w:t>성별(분해), 나이, 외국인</w:t>
            </w:r>
          </w:p>
        </w:tc>
      </w:tr>
      <w:tr>
        <w:tc>
          <w:tcPr>
            <w:tcW w:type="dxa" w:w="3041"/>
          </w:tcPr>
          <w:p>
            <w:r>
              <w:rPr>
                <w:rFonts w:ascii="Times New Roman" w:hAnsi="Times New Roman" w:eastAsia="맑은 고딕"/>
                <w:b w:val="0"/>
                <w:sz w:val="20"/>
              </w:rPr>
              <w:t>통화</w:t>
            </w:r>
          </w:p>
        </w:tc>
        <w:tc>
          <w:tcPr>
            <w:tcW w:type="dxa" w:w="3041"/>
          </w:tcPr>
          <w:p>
            <w:r>
              <w:rPr>
                <w:rFonts w:ascii="Times New Roman" w:hAnsi="Times New Roman" w:eastAsia="맑은 고딕"/>
                <w:b w:val="0"/>
                <w:sz w:val="20"/>
              </w:rPr>
              <w:t>미상 (Local Currency Unit)</w:t>
            </w:r>
          </w:p>
        </w:tc>
        <w:tc>
          <w:tcPr>
            <w:tcW w:type="dxa" w:w="3041"/>
          </w:tcPr>
          <w:p>
            <w:r>
              <w:rPr>
                <w:rFonts w:ascii="Times New Roman" w:hAnsi="Times New Roman" w:eastAsia="맑은 고딕"/>
                <w:b w:val="0"/>
                <w:sz w:val="20"/>
              </w:rPr>
              <w:t>독일 마르크 (DM)</w:t>
            </w:r>
          </w:p>
        </w:tc>
      </w:tr>
      <w:tr>
        <w:tc>
          <w:tcPr>
            <w:tcW w:type="dxa" w:w="3041"/>
          </w:tcPr>
          <w:p>
            <w:r>
              <w:rPr>
                <w:rFonts w:ascii="Times New Roman" w:hAnsi="Times New Roman" w:eastAsia="맑은 고딕"/>
                <w:b w:val="0"/>
                <w:sz w:val="20"/>
              </w:rPr>
              <w:t>도메인 복잡도</w:t>
            </w:r>
          </w:p>
        </w:tc>
        <w:tc>
          <w:tcPr>
            <w:tcW w:type="dxa" w:w="3041"/>
          </w:tcPr>
          <w:p>
            <w:r>
              <w:rPr>
                <w:rFonts w:ascii="Times New Roman" w:hAnsi="Times New Roman" w:eastAsia="맑은 고딕"/>
                <w:b w:val="0"/>
                <w:sz w:val="20"/>
              </w:rPr>
              <w:t>고차원·복잡</w:t>
            </w:r>
          </w:p>
        </w:tc>
        <w:tc>
          <w:tcPr>
            <w:tcW w:type="dxa" w:w="3041"/>
          </w:tcPr>
          <w:p>
            <w:r>
              <w:rPr>
                <w:rFonts w:ascii="Times New Roman" w:hAnsi="Times New Roman" w:eastAsia="맑은 고딕"/>
                <w:b w:val="0"/>
                <w:sz w:val="20"/>
              </w:rPr>
              <w:t>저차원·단순</w:t>
            </w:r>
          </w:p>
        </w:tc>
      </w:tr>
    </w:tbl>
    <w:p>
      <w:pPr>
        <w:spacing w:line="480" w:lineRule="auto" w:before="0" w:after="120"/>
        <w:ind w:firstLine="283"/>
        <w:jc w:val="left"/>
      </w:pPr>
      <w:r>
        <w:rPr>
          <w:rFonts w:ascii="Times New Roman" w:hAnsi="Times New Roman" w:eastAsia="맑은 고딕"/>
          <w:b w:val="0"/>
          <w:sz w:val="22"/>
        </w:rPr>
        <w:t>두 데이터셋은 표본 규모(약 308배 차이), 변수 수(약 5.8배 차이), 결측 특성(다수 vs 0건), 부도율(8.07% vs 30%) 모두에서 큰 차이를 보인다. 이러한 구조적 차이는 본 연구의 메커니즘이 데이터 복잡도가 다른 환경에서 동일하게 작동하는가 를 검증하는 자연스러운 비교 환경을 제공한다.</w:t>
      </w:r>
    </w:p>
    <w:p>
      <w:pPr>
        <w:spacing w:line="480" w:lineRule="auto" w:before="0" w:after="120"/>
        <w:ind w:firstLine="283"/>
        <w:jc w:val="left"/>
      </w:pPr>
      <w:r>
        <w:rPr>
          <w:rFonts w:ascii="Times New Roman" w:hAnsi="Times New Roman" w:eastAsia="맑은 고딕"/>
          <w:b w:val="0"/>
          <w:sz w:val="22"/>
        </w:rPr>
        <w:t>#### 3.1 3.1.2 탐색적 데이터 분석</w:t>
      </w:r>
    </w:p>
    <w:p>
      <w:pPr>
        <w:spacing w:line="480" w:lineRule="auto" w:before="0" w:after="120"/>
        <w:ind w:firstLine="283"/>
        <w:jc w:val="left"/>
      </w:pPr>
      <w:r>
        <w:rPr>
          <w:rFonts w:ascii="Times New Roman" w:hAnsi="Times New Roman" w:eastAsia="맑은 고딕"/>
          <w:b w:val="0"/>
          <w:sz w:val="22"/>
        </w:rPr>
        <w:t>##### 3.1 (a) Home Credit 데이터셋 EDA</w:t>
      </w:r>
    </w:p>
    <w:p>
      <w:pPr>
        <w:spacing w:line="480" w:lineRule="auto" w:before="0" w:after="120"/>
        <w:ind w:firstLine="283"/>
        <w:jc w:val="left"/>
      </w:pPr>
      <w:r>
        <w:rPr>
          <w:rFonts w:ascii="Times New Roman" w:hAnsi="Times New Roman" w:eastAsia="맑은 고딕"/>
          <w:b w:val="0"/>
          <w:sz w:val="22"/>
        </w:rPr>
        <w:t>Home Credit 데이터셋의 결측률 분포를 분석한 결과, 결측률이 50%를 초과하는 41개 변수가 식별되었다. 결측률 최댓값은 69.87%이며, 결측이 있는 컬럼들의 결측률 중앙값은 50.75%이다. 이러한 결측은 무작위가 아닌 체계적 결측(MNAR; Missing Not At Random) 의 가능성이 높으므로, 단순 평균/중앙값 대치보다는 결측 자체가 정보를 가진다 는 가정 하에 결측 플래그(missing flag) 변수를 추가 생성하는 전략이 적절하다.</w:t>
      </w:r>
    </w:p>
    <w:p>
      <w:pPr>
        <w:spacing w:line="480" w:lineRule="auto" w:before="0" w:after="120"/>
        <w:ind w:firstLine="283"/>
        <w:jc w:val="left"/>
      </w:pPr>
      <w:r>
        <w:rPr>
          <w:rFonts w:ascii="Times New Roman" w:hAnsi="Times New Roman" w:eastAsia="맑은 고딕"/>
          <w:b w:val="0"/>
          <w:sz w:val="22"/>
        </w:rPr>
        <w:t>외부 신용평가 점수 3개(EXT_SOURCE_1/2/3)는 본 데이터셋의 가장 강력한 예측 변수로 알려져 있으며, 후속 SHAP 분석 결과에서도 변수별 평균 절대 SHAP 값(mean(|SHAP|)) 상위 3개를 차지한다. 이들 변수는 0~1 범위의 연속값을 가지며, 1에 가까울수록 외부 신용기관이 평가한 신용도가 높음을 의미한다.</w:t>
      </w:r>
    </w:p>
    <w:p>
      <w:pPr>
        <w:spacing w:line="480" w:lineRule="auto" w:before="0" w:after="120"/>
        <w:ind w:firstLine="283"/>
        <w:jc w:val="left"/>
      </w:pPr>
      <w:r>
        <w:rPr>
          <w:rFonts w:ascii="Times New Roman" w:hAnsi="Times New Roman" w:eastAsia="맑은 고딕"/>
          <w:b w:val="0"/>
          <w:sz w:val="22"/>
        </w:rPr>
        <w:t>DAYS_EMPLOYED 변수에서는 약 18%의 인스턴스가 365,243이라는 비현실적 값(약 1,000년에 해당)을 가지는 것이 확인되었다. 이는 Sentinel value(특수 값) 형태로 입력된 결측 처리 코드로, 본 연구에서는 이를 결측으로 변환하고 별도의 EMPLOYED_FLAG 변수를 생성하여 처리하였다.</w:t>
      </w:r>
    </w:p>
    <w:p>
      <w:pPr>
        <w:spacing w:line="480" w:lineRule="auto" w:before="0" w:after="120"/>
        <w:ind w:firstLine="283"/>
        <w:jc w:val="left"/>
      </w:pPr>
      <w:r>
        <w:rPr>
          <w:rFonts w:ascii="Times New Roman" w:hAnsi="Times New Roman" w:eastAsia="맑은 고딕"/>
          <w:b w:val="0"/>
          <w:sz w:val="22"/>
        </w:rPr>
        <w:t>연령(DAYS_BIRTH 변수에서 산출, 단위 변환: -DAYS_BIRTH / 365.25)을 4개 구간으로 나눈 결과, 25-35세 구간의 부도율이 가장 높고 55세 이상에서 가장 낮은 일반적 패턴이 관찰되었다. 이는 본 연구의 공정성 평가에서 연령을 보호 속성으로 명시적으로 다룰 필요성을 시사한다.</w:t>
      </w:r>
    </w:p>
    <w:p>
      <w:pPr>
        <w:spacing w:line="480" w:lineRule="auto" w:before="0" w:after="120"/>
        <w:ind w:firstLine="283"/>
        <w:jc w:val="left"/>
      </w:pPr>
      <w:r>
        <w:rPr>
          <w:rFonts w:ascii="Times New Roman" w:hAnsi="Times New Roman" w:eastAsia="맑은 고딕"/>
          <w:b w:val="0"/>
          <w:sz w:val="22"/>
        </w:rPr>
        <w:t>##### 3.1 (b) German Credit 데이터셋 EDA</w:t>
      </w:r>
    </w:p>
    <w:p>
      <w:pPr>
        <w:spacing w:line="480" w:lineRule="auto" w:before="0" w:after="120"/>
        <w:ind w:firstLine="283"/>
        <w:jc w:val="left"/>
      </w:pPr>
      <w:r>
        <w:rPr>
          <w:rFonts w:ascii="Times New Roman" w:hAnsi="Times New Roman" w:eastAsia="맑은 고딕"/>
          <w:b w:val="0"/>
          <w:sz w:val="22"/>
        </w:rPr>
        <w:t>German Credit 데이터셋은 결측이 없으므로 결측 분석은 수행하지 않는다. 정수형 변수 중 duration은 평균 20.9개월(중앙값 18, 최댓값 72)로 단기 대출이 다수를 차지하며, credit_amount는 평균 3,271 DM(중앙값 2,320, 최댓값 18,424)으로 1990년대 독일 마르크 기준의 일반적인 개인 대출 규모이다. age는 평균 35.5세(최솟값 19, 최댓값 75)로 분포한다.</w:t>
      </w:r>
    </w:p>
    <w:p>
      <w:pPr>
        <w:spacing w:line="480" w:lineRule="auto" w:before="0" w:after="120"/>
        <w:ind w:firstLine="283"/>
        <w:jc w:val="left"/>
      </w:pPr>
      <w:r>
        <w:rPr>
          <w:rFonts w:ascii="Times New Roman" w:hAnsi="Times New Roman" w:eastAsia="맑은 고딕"/>
          <w:b w:val="0"/>
          <w:sz w:val="22"/>
        </w:rPr>
        <w:t>범주형 변수 중 checking_status는 4개 카테고리(&lt;0, 0&lt;=X&lt;200, &gt;=200, no_checking)로 나뉘며, 부도율은 체크 계좌 잔액이 음수인 그룹과 체크 계좌가 없는 그룹에서 가장 높게 관찰된다. credit_history는 5개 카테고리로, critical/other_existing_credit(critical 이력) 그룹의 부도율이 가장 높다. 이러한 패턴은 신용평가 도메인의 일반 상식과 부합하며, 본 연구의 SHAP 분석에서도 동일한 변수들이 부도 예측에 주된 기여를 함을 확인한다.</w:t>
      </w:r>
    </w:p>
    <w:p>
      <w:pPr>
        <w:spacing w:line="480" w:lineRule="auto" w:before="0" w:after="120"/>
        <w:ind w:firstLine="283"/>
        <w:jc w:val="left"/>
      </w:pPr>
      <w:r>
        <w:rPr>
          <w:rFonts w:ascii="Times New Roman" w:hAnsi="Times New Roman" w:eastAsia="맑은 고딕"/>
          <w:b w:val="0"/>
          <w:sz w:val="22"/>
        </w:rPr>
        <w:t>연령에 대한 부도율 분석에서 젊은 그룹(중앙값 35세 미만, 부도율 34.8%)이 고령 그룹(35세 이상, 부도율 25.5%)보다 부도율이 높게 나타나, Home Credit과 유사한 패턴이 확인된다. 성별별 부도율은 남성 27.7%, 여성 35.2%로 두 그룹 모두 4/5 규칙(min/max ≥ 0.8) 기준에서 0.787 수준의 비율을 보여, 명백한 위반은 아니지만 경계선상의 차이가 있어 본 연구의 공정성 분석 대상으로 적절하다.</w:t>
      </w:r>
    </w:p>
    <w:p>
      <w:pPr>
        <w:spacing w:line="480" w:lineRule="auto" w:before="0" w:after="120"/>
        <w:ind w:firstLine="283"/>
        <w:jc w:val="left"/>
      </w:pPr>
      <w:r>
        <w:rPr>
          <w:rFonts w:ascii="Times New Roman" w:hAnsi="Times New Roman" w:eastAsia="맑은 고딕"/>
          <w:b w:val="0"/>
          <w:sz w:val="22"/>
        </w:rPr>
        <w:t>#### 3.1 3.1.3 전처리 정책</w:t>
      </w:r>
    </w:p>
    <w:p>
      <w:pPr>
        <w:spacing w:line="480" w:lineRule="auto" w:before="0" w:after="120"/>
        <w:ind w:firstLine="283"/>
        <w:jc w:val="left"/>
      </w:pPr>
      <w:r>
        <w:rPr>
          <w:rFonts w:ascii="Times New Roman" w:hAnsi="Times New Roman" w:eastAsia="맑은 고딕"/>
          <w:b w:val="0"/>
          <w:sz w:val="22"/>
        </w:rPr>
        <w:t>본 연구의 전처리 정책은 손지민(2024) [15]의 신용평가 전처리 패턴을 부분적으로 참조하면서, Home Credit의 높은 결측률과 고-카디널리티 범주형 변수에 대응하는 신규 정책을 도입한다. 모든 결정 사항은 SEED=42로 고정한 재현 가능한 파이프라인으로 구현된다.</w:t>
      </w:r>
    </w:p>
    <w:p>
      <w:pPr>
        <w:spacing w:line="480" w:lineRule="auto" w:before="0" w:after="120"/>
        <w:ind w:firstLine="283"/>
        <w:jc w:val="left"/>
      </w:pPr>
      <w:r>
        <w:rPr>
          <w:rFonts w:ascii="Times New Roman" w:hAnsi="Times New Roman" w:eastAsia="맑은 고딕"/>
          <w:b w:val="0"/>
          <w:sz w:val="22"/>
        </w:rPr>
        <w:t>##### 3.1 (a) 결측치 처리 (정책 A1)</w:t>
      </w:r>
    </w:p>
    <w:p>
      <w:pPr>
        <w:spacing w:line="480" w:lineRule="auto" w:before="0" w:after="120"/>
        <w:ind w:firstLine="283"/>
        <w:jc w:val="left"/>
      </w:pPr>
      <w:r>
        <w:rPr>
          <w:rFonts w:ascii="Times New Roman" w:hAnsi="Times New Roman" w:eastAsia="맑은 고딕"/>
          <w:b w:val="0"/>
          <w:sz w:val="22"/>
        </w:rPr>
        <w:t>Home Credit 데이터셋의 결측은 본질적으로 정보를 가진다고 판단하여 다음 두 단계로 처리한다.</w:t>
      </w:r>
    </w:p>
    <w:p>
      <w:pPr>
        <w:spacing w:line="480" w:lineRule="auto" w:before="0" w:after="120"/>
        <w:ind w:firstLine="283"/>
        <w:jc w:val="left"/>
      </w:pPr>
      <w:r>
        <w:rPr>
          <w:rFonts w:ascii="Times New Roman" w:hAnsi="Times New Roman" w:eastAsia="맑은 고딕"/>
          <w:b w:val="0"/>
          <w:sz w:val="22"/>
        </w:rPr>
        <w:t>첫째, 결측률이 50%를 초과하는 41개 변수와 외부 신용평가 점수 3개에 대하여 결측 플래그 변수(&lt;original&gt;_MISSING_FLAG, 0/1)를 추가 생성한다. 이는 결측 자체가 부도 예측에 정보를 가질 수 있다는 가정에 기반한다.</w:t>
      </w:r>
    </w:p>
    <w:p>
      <w:pPr>
        <w:spacing w:line="480" w:lineRule="auto" w:before="0" w:after="120"/>
        <w:ind w:firstLine="283"/>
        <w:jc w:val="left"/>
      </w:pPr>
      <w:r>
        <w:rPr>
          <w:rFonts w:ascii="Times New Roman" w:hAnsi="Times New Roman" w:eastAsia="맑은 고딕"/>
          <w:b w:val="0"/>
          <w:sz w:val="22"/>
        </w:rPr>
        <w:t>둘째, 결측 플래그 생성 후 에 수치형 변수에 대해 학습 셋의 중앙값으로 대치(median imputation)하고, 범주형 변수는 학습 셋의 최빈값(mode)으로 대치한다. 이때 통계량은 학습 셋에서만 산출하여 검증·테스트 셋의 정보 누출(leakage)을 방지한다.</w:t>
      </w:r>
    </w:p>
    <w:p>
      <w:pPr>
        <w:spacing w:line="480" w:lineRule="auto" w:before="0" w:after="120"/>
        <w:ind w:firstLine="283"/>
        <w:jc w:val="left"/>
      </w:pPr>
      <w:r>
        <w:rPr>
          <w:rFonts w:ascii="Times New Roman" w:hAnsi="Times New Roman" w:eastAsia="맑은 고딕"/>
          <w:b w:val="0"/>
          <w:sz w:val="22"/>
        </w:rPr>
        <w:t>DAYS_EMPLOYED == 365243 Sentinel은 별도로 결측으로 변환한 후 EMPLOYED_FLAG 변수를 생성하여 처리한다.</w:t>
      </w:r>
    </w:p>
    <w:p>
      <w:pPr>
        <w:spacing w:line="480" w:lineRule="auto" w:before="0" w:after="120"/>
        <w:ind w:firstLine="283"/>
        <w:jc w:val="left"/>
      </w:pPr>
      <w:r>
        <w:rPr>
          <w:rFonts w:ascii="Times New Roman" w:hAnsi="Times New Roman" w:eastAsia="맑은 고딕"/>
          <w:b w:val="0"/>
          <w:sz w:val="22"/>
        </w:rPr>
        <w:t>German Credit의 경우 결측이 없으므로 위 단계는 적용되지 않는다.</w:t>
      </w:r>
    </w:p>
    <w:p>
      <w:pPr>
        <w:spacing w:line="480" w:lineRule="auto" w:before="0" w:after="120"/>
        <w:ind w:firstLine="283"/>
        <w:jc w:val="left"/>
      </w:pPr>
      <w:r>
        <w:rPr>
          <w:rFonts w:ascii="Times New Roman" w:hAnsi="Times New Roman" w:eastAsia="맑은 고딕"/>
          <w:b w:val="0"/>
          <w:sz w:val="22"/>
        </w:rPr>
        <w:t>##### 3.1 (b) 범주형 인코딩 (정책 B1)</w:t>
      </w:r>
    </w:p>
    <w:p>
      <w:pPr>
        <w:spacing w:line="480" w:lineRule="auto" w:before="0" w:after="120"/>
        <w:ind w:firstLine="283"/>
        <w:jc w:val="left"/>
      </w:pPr>
      <w:r>
        <w:rPr>
          <w:rFonts w:ascii="Times New Roman" w:hAnsi="Times New Roman" w:eastAsia="맑은 고딕"/>
          <w:b w:val="0"/>
          <w:sz w:val="22"/>
        </w:rPr>
        <w:t>범주형 변수는 카디널리티(고유 값 수)에 따라 두 가지 인코딩 전략을 차별 적용한다.</w:t>
      </w:r>
    </w:p>
    <w:p>
      <w:pPr>
        <w:spacing w:line="480" w:lineRule="auto" w:before="0" w:after="120"/>
        <w:ind w:firstLine="283"/>
        <w:jc w:val="left"/>
      </w:pPr>
      <w:r>
        <w:rPr>
          <w:rFonts w:ascii="Times New Roman" w:hAnsi="Times New Roman" w:eastAsia="맑은 고딕"/>
          <w:b w:val="0"/>
          <w:sz w:val="22"/>
        </w:rPr>
        <w:t>카디널리티 ≤ 8인 범주형 변수는 원-핫 인코딩(one-hot encoding) 을 적용하며, pd.get_dummies(drop_first=False, dummy_na=False)로 처리한다. 이는 정보 손실 없이 범주를 표현할 수 있고, 후속 SHAP 분석에서 카테고리 단위의 기여도를 명확히 산출할 수 있다는 장점이 있다.</w:t>
      </w:r>
    </w:p>
    <w:p>
      <w:pPr>
        <w:spacing w:line="480" w:lineRule="auto" w:before="0" w:after="120"/>
        <w:ind w:firstLine="283"/>
        <w:jc w:val="left"/>
      </w:pPr>
      <w:r>
        <w:rPr>
          <w:rFonts w:ascii="Times New Roman" w:hAnsi="Times New Roman" w:eastAsia="맑은 고딕"/>
          <w:b w:val="0"/>
          <w:sz w:val="22"/>
        </w:rPr>
        <w:t>카디널리티 &gt; 8인 변수와 두 개의 고-카디널리티 변수(OCCUPATION_TYPE, ORGANIZATION_TYPE)는 목표 부호화(target encoding) 를 적용한다. 본 연구는 category_encoders 라이브러리의 TargetEncoder를 활용하며, smoothing 파라미터를 10.0으로 설정하여 표본 수가 적은 카테고리에서의 과적합을 완화한다. 목표 부호화는 학습 셋에서만 fit하며, 검증·테스트 셋에는 동일한 인코더로 transform한다.</w:t>
      </w:r>
    </w:p>
    <w:p>
      <w:pPr>
        <w:spacing w:line="480" w:lineRule="auto" w:before="0" w:after="120"/>
        <w:ind w:firstLine="283"/>
        <w:jc w:val="left"/>
      </w:pPr>
      <w:r>
        <w:rPr>
          <w:rFonts w:ascii="Times New Roman" w:hAnsi="Times New Roman" w:eastAsia="맑은 고딕"/>
          <w:b w:val="0"/>
          <w:sz w:val="22"/>
        </w:rPr>
        <w:t>XGBoost 및 LightGBM의 입력 형식 호환성을 위해 컬럼명에 포함된 특수 문자(&lt;, &gt;, [, ], ,, :, {, })는 정규표현식 기반의 sanitize 처리를 통해 언더스코어(_)로 치환한다.</w:t>
      </w:r>
    </w:p>
    <w:p>
      <w:pPr>
        <w:spacing w:line="480" w:lineRule="auto" w:before="0" w:after="120"/>
        <w:ind w:firstLine="283"/>
        <w:jc w:val="left"/>
      </w:pPr>
      <w:r>
        <w:rPr>
          <w:rFonts w:ascii="Times New Roman" w:hAnsi="Times New Roman" w:eastAsia="맑은 고딕"/>
          <w:b w:val="0"/>
          <w:sz w:val="22"/>
        </w:rPr>
        <w:t>##### 3.1 (c) 데이터 분할 (정책 D)</w:t>
      </w:r>
    </w:p>
    <w:p>
      <w:pPr>
        <w:spacing w:line="480" w:lineRule="auto" w:before="0" w:after="120"/>
        <w:ind w:firstLine="283"/>
        <w:jc w:val="left"/>
      </w:pPr>
      <w:r>
        <w:rPr>
          <w:rFonts w:ascii="Times New Roman" w:hAnsi="Times New Roman" w:eastAsia="맑은 고딕"/>
          <w:b w:val="0"/>
          <w:sz w:val="22"/>
        </w:rPr>
        <w:t>학습/검증/테스트 분할은 60/20/20 비율로 수행하며, 부도 여부에 대해 계층화(stratified) 한다. 무작위 시드(SEED=42)를 고정하여 재현성을 확보하며, sklearn.model_selection.train_test_split을 두 차례 호출하는 방식으로 구현한다.</w:t>
      </w:r>
    </w:p>
    <w:p>
      <w:pPr>
        <w:spacing w:line="480" w:lineRule="auto" w:before="0" w:after="120"/>
        <w:ind w:firstLine="283"/>
        <w:jc w:val="left"/>
      </w:pPr>
      <w:r>
        <w:rPr>
          <w:rFonts w:ascii="Times New Roman" w:hAnsi="Times New Roman" w:eastAsia="맑은 고딕"/>
          <w:b w:val="0"/>
          <w:sz w:val="22"/>
        </w:rPr>
        <w:t>Home Credit 데이터셋의 경우 학습 셋 184,506건, 검증 셋 61,503건, 테스트 셋 61,502건으로 분할되며, German Credit은 각각 600/200/200건으로 분할된다. 분할 후 부도율은 모든 셋에서 학습 셋과 거의 일치(Home: 0.0807, German: 0.3000)함을 확인하였다.</w:t>
      </w:r>
    </w:p>
    <w:p>
      <w:pPr>
        <w:spacing w:line="480" w:lineRule="auto" w:before="0" w:after="120"/>
        <w:ind w:firstLine="283"/>
        <w:jc w:val="left"/>
      </w:pPr>
      <w:r>
        <w:rPr>
          <w:rFonts w:ascii="Times New Roman" w:hAnsi="Times New Roman" w:eastAsia="맑은 고딕"/>
          <w:b w:val="0"/>
          <w:sz w:val="22"/>
        </w:rPr>
        <w:t>##### 3.1 (d) 보호 속성 처리 (정책 F)</w:t>
      </w:r>
    </w:p>
    <w:p>
      <w:pPr>
        <w:spacing w:line="480" w:lineRule="auto" w:before="0" w:after="120"/>
        <w:ind w:firstLine="283"/>
        <w:jc w:val="left"/>
      </w:pPr>
      <w:r>
        <w:rPr>
          <w:rFonts w:ascii="Times New Roman" w:hAnsi="Times New Roman" w:eastAsia="맑은 고딕"/>
          <w:b w:val="0"/>
          <w:sz w:val="22"/>
        </w:rPr>
        <w:t>본 연구는 보호 속성을 학습 변수로 그대로 포함 하되, 공정성 평가는 별도 단계에서 분리하여 수행하는 정책을 채택한다. 이는 fairness through unawareness 가 실효성이 없다는 다수의 선행 연구 결과 [9, 21]를 반영한 결정으로, 보호 속성을 단순히 제거하는 것은 모델 성능 손실만 가져올 뿐 진정한 공정성을 보장하지 못한다는 합의에 기반한다.</w:t>
      </w:r>
    </w:p>
    <w:p>
      <w:pPr>
        <w:spacing w:line="480" w:lineRule="auto" w:before="0" w:after="120"/>
        <w:ind w:firstLine="283"/>
        <w:jc w:val="left"/>
      </w:pPr>
      <w:r>
        <w:rPr>
          <w:rFonts w:ascii="Times New Roman" w:hAnsi="Times New Roman" w:eastAsia="맑은 고딕"/>
          <w:b w:val="0"/>
          <w:sz w:val="22"/>
        </w:rPr>
        <w:t>다만 LLM 기반 자연어 설명 생성 단계에서는 보호 속성을 명시적으로 마스킹 하여 LLM이 차주에게 보이는 설명에서 성별·연령 등을 직접 언급하지 않도록 hard constraint로 제어한다. 즉 모델 학습에서는 활용하되 사용자에게 노출되는 자연어 설명에서는 차단 하는 이중 정책이다.</w:t>
      </w:r>
    </w:p>
    <w:p>
      <w:pPr>
        <w:spacing w:line="480" w:lineRule="auto" w:before="0" w:after="120"/>
        <w:ind w:firstLine="283"/>
        <w:jc w:val="left"/>
      </w:pPr>
      <w:r>
        <w:rPr>
          <w:rFonts w:ascii="Times New Roman" w:hAnsi="Times New Roman" w:eastAsia="맑은 고딕"/>
          <w:b w:val="0"/>
          <w:sz w:val="22"/>
        </w:rPr>
        <w:t>##### 3.1 (e) 변수 스케일링과 출력 형식</w:t>
      </w:r>
    </w:p>
    <w:p>
      <w:pPr>
        <w:spacing w:line="480" w:lineRule="auto" w:before="0" w:after="120"/>
        <w:ind w:firstLine="283"/>
        <w:jc w:val="left"/>
      </w:pPr>
      <w:r>
        <w:rPr>
          <w:rFonts w:ascii="Times New Roman" w:hAnsi="Times New Roman" w:eastAsia="맑은 고딕"/>
          <w:b w:val="0"/>
          <w:sz w:val="22"/>
        </w:rPr>
        <w:t>선형 모델(로지스틱 회귀)과 신경망 기반 모델(TabNet)의 학습 안정성을 위해 수치형 변수에 RobustScaler 를 적용한 scaled 버전과, 트리 기반 모델(XGBoost, LightGBM)의 학습용 unscaled 버전을 모두 생성한다. RobustScaler는 중앙값과 IQR(사분위 범위)을 사용하여 이상치에 강건한 정규화를 수행한다. 또한 1~99% 분위수에서의 클리핑(clipping)을 적용하여 극단적 이상치의 영향을 제한한다.</w:t>
      </w:r>
    </w:p>
    <w:p>
      <w:pPr>
        <w:spacing w:line="480" w:lineRule="auto" w:before="0" w:after="120"/>
        <w:ind w:firstLine="283"/>
        <w:jc w:val="left"/>
      </w:pPr>
      <w:r>
        <w:rPr>
          <w:rFonts w:ascii="Times New Roman" w:hAnsi="Times New Roman" w:eastAsia="맑은 고딕"/>
          <w:b w:val="0"/>
          <w:sz w:val="22"/>
        </w:rPr>
        <w:t>전처리 결과는 학습/검증/테스트 셋과 scaled/unscaled 변형을 조합한 6개의 Parquet 파일(train_scaled.parquet, val_scaled.parquet, test_scaled.parquet, 그리고 unscaled 3개)로 저장된다. Home Credit의 전처리 후 변수 수는 214개로, 원시 122개 대비 missing flag·target encoding·one-hot 확장 등으로 인해 증가한다. German Credit은 원시 21개에서 전처리 후 63개로 확장된다.</w:t>
      </w:r>
    </w:p>
    <w:p>
      <w:pPr>
        <w:spacing w:line="480" w:lineRule="auto" w:before="0" w:after="120"/>
        <w:ind w:firstLine="283"/>
        <w:jc w:val="left"/>
      </w:pPr>
      <w:r>
        <w:rPr>
          <w:rFonts w:ascii="Times New Roman" w:hAnsi="Times New Roman" w:eastAsia="맑은 고딕"/>
          <w:b w:val="0"/>
          <w:sz w:val="22"/>
        </w:rPr>
        <w:t>표 3-2는 본 연구의 전처리 정책을 정리하여 보여준다.</w:t>
      </w:r>
    </w:p>
    <w:p>
      <w:pPr>
        <w:spacing w:line="480" w:lineRule="auto" w:before="0" w:after="120"/>
        <w:ind w:firstLine="283"/>
        <w:jc w:val="left"/>
      </w:pPr>
      <w:r>
        <w:rPr>
          <w:rFonts w:ascii="Times New Roman" w:hAnsi="Times New Roman" w:eastAsia="맑은 고딕"/>
          <w:b w:val="0"/>
          <w:sz w:val="22"/>
        </w:rPr>
        <w:t>표 3-2. 본 연구의 전처리 정책 요약</w:t>
      </w:r>
    </w:p>
    <w:tbl>
      <w:tblPr>
        <w:tblStyle w:val="LightGrid"/>
        <w:tblW w:type="auto" w:w="0"/>
        <w:tblLook w:firstColumn="1" w:firstRow="1" w:lastColumn="0" w:lastRow="0" w:noHBand="0" w:noVBand="1" w:val="04A0"/>
      </w:tblPr>
      <w:tblGrid>
        <w:gridCol w:w="3041"/>
        <w:gridCol w:w="3041"/>
        <w:gridCol w:w="3041"/>
      </w:tblGrid>
      <w:tr>
        <w:tc>
          <w:tcPr>
            <w:tcW w:type="dxa" w:w="3041"/>
          </w:tcPr>
          <w:p>
            <w:r>
              <w:rPr>
                <w:rFonts w:ascii="Times New Roman" w:hAnsi="Times New Roman" w:eastAsia="맑은 고딕"/>
                <w:b/>
                <w:sz w:val="20"/>
              </w:rPr>
              <w:t>정책</w:t>
            </w:r>
          </w:p>
        </w:tc>
        <w:tc>
          <w:tcPr>
            <w:tcW w:type="dxa" w:w="3041"/>
          </w:tcPr>
          <w:p>
            <w:r>
              <w:rPr>
                <w:rFonts w:ascii="Times New Roman" w:hAnsi="Times New Roman" w:eastAsia="맑은 고딕"/>
                <w:b/>
                <w:sz w:val="20"/>
              </w:rPr>
              <w:t>내용</w:t>
            </w:r>
          </w:p>
        </w:tc>
        <w:tc>
          <w:tcPr>
            <w:tcW w:type="dxa" w:w="3041"/>
          </w:tcPr>
          <w:p>
            <w:r>
              <w:rPr>
                <w:rFonts w:ascii="Times New Roman" w:hAnsi="Times New Roman" w:eastAsia="맑은 고딕"/>
                <w:b/>
                <w:sz w:val="20"/>
              </w:rPr>
              <w:t>비고</w:t>
            </w:r>
          </w:p>
        </w:tc>
      </w:tr>
      <w:tr>
        <w:tc>
          <w:tcPr>
            <w:tcW w:type="dxa" w:w="3041"/>
          </w:tcPr>
          <w:p>
            <w:r>
              <w:rPr>
                <w:rFonts w:ascii="Times New Roman" w:hAnsi="Times New Roman" w:eastAsia="맑은 고딕"/>
                <w:b w:val="0"/>
                <w:sz w:val="20"/>
              </w:rPr>
              <w:t>A1</w:t>
            </w:r>
          </w:p>
        </w:tc>
        <w:tc>
          <w:tcPr>
            <w:tcW w:type="dxa" w:w="3041"/>
          </w:tcPr>
          <w:p>
            <w:r>
              <w:rPr>
                <w:rFonts w:ascii="Times New Roman" w:hAnsi="Times New Roman" w:eastAsia="맑은 고딕"/>
                <w:b w:val="0"/>
                <w:sz w:val="20"/>
              </w:rPr>
              <w:t>결측 50%+ 컬럼 + 외부 신용평가 점수에 missing flag 추가</w:t>
            </w:r>
          </w:p>
        </w:tc>
        <w:tc>
          <w:tcPr>
            <w:tcW w:type="dxa" w:w="3041"/>
          </w:tcPr>
          <w:p>
            <w:r>
              <w:rPr>
                <w:rFonts w:ascii="Times New Roman" w:hAnsi="Times New Roman" w:eastAsia="맑은 고딕"/>
                <w:b w:val="0"/>
                <w:sz w:val="20"/>
              </w:rPr>
              <w:t>Home Credit만 적용</w:t>
            </w:r>
          </w:p>
        </w:tc>
      </w:tr>
      <w:tr>
        <w:tc>
          <w:tcPr>
            <w:tcW w:type="dxa" w:w="3041"/>
          </w:tcPr>
          <w:p>
            <w:r>
              <w:rPr>
                <w:rFonts w:ascii="Times New Roman" w:hAnsi="Times New Roman" w:eastAsia="맑은 고딕"/>
                <w:b w:val="0"/>
                <w:sz w:val="20"/>
              </w:rPr>
              <w:t>B1</w:t>
            </w:r>
          </w:p>
        </w:tc>
        <w:tc>
          <w:tcPr>
            <w:tcW w:type="dxa" w:w="3041"/>
          </w:tcPr>
          <w:p>
            <w:r>
              <w:rPr>
                <w:rFonts w:ascii="Times New Roman" w:hAnsi="Times New Roman" w:eastAsia="맑은 고딕"/>
                <w:b w:val="0"/>
                <w:sz w:val="20"/>
              </w:rPr>
              <w:t>카디널리티 ≤ 8 → one-hot, &gt; 8 → target encoding</w:t>
            </w:r>
          </w:p>
        </w:tc>
        <w:tc>
          <w:tcPr>
            <w:tcW w:type="dxa" w:w="3041"/>
          </w:tcPr>
          <w:p>
            <w:r>
              <w:rPr>
                <w:rFonts w:ascii="Times New Roman" w:hAnsi="Times New Roman" w:eastAsia="맑은 고딕"/>
                <w:b w:val="0"/>
                <w:sz w:val="20"/>
              </w:rPr>
              <w:t>smoothing=10.0</w:t>
            </w:r>
          </w:p>
        </w:tc>
      </w:tr>
      <w:tr>
        <w:tc>
          <w:tcPr>
            <w:tcW w:type="dxa" w:w="3041"/>
          </w:tcPr>
          <w:p>
            <w:r>
              <w:rPr>
                <w:rFonts w:ascii="Times New Roman" w:hAnsi="Times New Roman" w:eastAsia="맑은 고딕"/>
                <w:b w:val="0"/>
                <w:sz w:val="20"/>
              </w:rPr>
              <w:t>C1</w:t>
            </w:r>
          </w:p>
        </w:tc>
        <w:tc>
          <w:tcPr>
            <w:tcW w:type="dxa" w:w="3041"/>
          </w:tcPr>
          <w:p>
            <w:r>
              <w:rPr>
                <w:rFonts w:ascii="Times New Roman" w:hAnsi="Times New Roman" w:eastAsia="맑은 고딕"/>
                <w:b w:val="0"/>
                <w:sz w:val="20"/>
              </w:rPr>
              <w:t>클래스 불균형은 학습 단계에서 `class_weight='balanced'`로 처리</w:t>
            </w:r>
          </w:p>
        </w:tc>
        <w:tc>
          <w:tcPr>
            <w:tcW w:type="dxa" w:w="3041"/>
          </w:tcPr>
          <w:p>
            <w:r>
              <w:rPr>
                <w:rFonts w:ascii="Times New Roman" w:hAnsi="Times New Roman" w:eastAsia="맑은 고딕"/>
                <w:b w:val="0"/>
                <w:sz w:val="20"/>
              </w:rPr>
              <w:t>SMOTE 미적용</w:t>
            </w:r>
          </w:p>
        </w:tc>
      </w:tr>
      <w:tr>
        <w:tc>
          <w:tcPr>
            <w:tcW w:type="dxa" w:w="3041"/>
          </w:tcPr>
          <w:p>
            <w:r>
              <w:rPr>
                <w:rFonts w:ascii="Times New Roman" w:hAnsi="Times New Roman" w:eastAsia="맑은 고딕"/>
                <w:b w:val="0"/>
                <w:sz w:val="20"/>
              </w:rPr>
              <w:t>D</w:t>
            </w:r>
          </w:p>
        </w:tc>
        <w:tc>
          <w:tcPr>
            <w:tcW w:type="dxa" w:w="3041"/>
          </w:tcPr>
          <w:p>
            <w:r>
              <w:rPr>
                <w:rFonts w:ascii="Times New Roman" w:hAnsi="Times New Roman" w:eastAsia="맑은 고딕"/>
                <w:b w:val="0"/>
                <w:sz w:val="20"/>
              </w:rPr>
              <w:t>60/20/20 stratified split</w:t>
            </w:r>
          </w:p>
        </w:tc>
        <w:tc>
          <w:tcPr>
            <w:tcW w:type="dxa" w:w="3041"/>
          </w:tcPr>
          <w:p>
            <w:r>
              <w:rPr>
                <w:rFonts w:ascii="Times New Roman" w:hAnsi="Times New Roman" w:eastAsia="맑은 고딕"/>
                <w:b w:val="0"/>
                <w:sz w:val="20"/>
              </w:rPr>
              <w:t>SEED=42</w:t>
            </w:r>
          </w:p>
        </w:tc>
      </w:tr>
      <w:tr>
        <w:tc>
          <w:tcPr>
            <w:tcW w:type="dxa" w:w="3041"/>
          </w:tcPr>
          <w:p>
            <w:r>
              <w:rPr>
                <w:rFonts w:ascii="Times New Roman" w:hAnsi="Times New Roman" w:eastAsia="맑은 고딕"/>
                <w:b w:val="0"/>
                <w:sz w:val="20"/>
              </w:rPr>
              <w:t>E1</w:t>
            </w:r>
          </w:p>
        </w:tc>
        <w:tc>
          <w:tcPr>
            <w:tcW w:type="dxa" w:w="3041"/>
          </w:tcPr>
          <w:p>
            <w:r>
              <w:rPr>
                <w:rFonts w:ascii="Times New Roman" w:hAnsi="Times New Roman" w:eastAsia="맑은 고딕"/>
                <w:b w:val="0"/>
                <w:sz w:val="20"/>
              </w:rPr>
              <w:t>외부 신용평가 점수는 median 대치 + missing flag</w:t>
            </w:r>
          </w:p>
        </w:tc>
        <w:tc>
          <w:tcPr>
            <w:tcW w:type="dxa" w:w="3041"/>
          </w:tcPr>
          <w:p>
            <w:r>
              <w:rPr>
                <w:rFonts w:ascii="Times New Roman" w:hAnsi="Times New Roman" w:eastAsia="맑은 고딕"/>
                <w:b w:val="0"/>
                <w:sz w:val="20"/>
              </w:rPr>
              <w:t>Home Credit만</w:t>
            </w:r>
          </w:p>
        </w:tc>
      </w:tr>
      <w:tr>
        <w:tc>
          <w:tcPr>
            <w:tcW w:type="dxa" w:w="3041"/>
          </w:tcPr>
          <w:p>
            <w:r>
              <w:rPr>
                <w:rFonts w:ascii="Times New Roman" w:hAnsi="Times New Roman" w:eastAsia="맑은 고딕"/>
                <w:b w:val="0"/>
                <w:sz w:val="20"/>
              </w:rPr>
              <w:t>F</w:t>
            </w:r>
          </w:p>
        </w:tc>
        <w:tc>
          <w:tcPr>
            <w:tcW w:type="dxa" w:w="3041"/>
          </w:tcPr>
          <w:p>
            <w:r>
              <w:rPr>
                <w:rFonts w:ascii="Times New Roman" w:hAnsi="Times New Roman" w:eastAsia="맑은 고딕"/>
                <w:b w:val="0"/>
                <w:sz w:val="20"/>
              </w:rPr>
              <w:t>보호 속성 학습 포함 + 공정성 평가 별도 + LLM 설명 마스킹</w:t>
            </w:r>
          </w:p>
        </w:tc>
        <w:tc>
          <w:tcPr>
            <w:tcW w:type="dxa" w:w="3041"/>
          </w:tcPr>
          <w:p>
            <w:r>
              <w:rPr>
                <w:rFonts w:ascii="Times New Roman" w:hAnsi="Times New Roman" w:eastAsia="맑은 고딕"/>
                <w:b w:val="0"/>
                <w:sz w:val="20"/>
              </w:rPr>
              <w:t>모든 데이터셋</w:t>
            </w:r>
          </w:p>
        </w:tc>
      </w:tr>
    </w:tbl>
    <w:p>
      <w:pPr>
        <w:spacing w:line="480" w:lineRule="auto" w:before="0" w:after="120"/>
        <w:ind w:firstLine="283"/>
        <w:jc w:val="left"/>
      </w:pPr>
      <w:r>
        <w:rPr>
          <w:rFonts w:ascii="Times New Roman" w:hAnsi="Times New Roman" w:eastAsia="맑은 고딕"/>
          <w:b w:val="0"/>
          <w:sz w:val="22"/>
        </w:rPr>
        <w:t>본 전처리 정책에 따라 가공된 두 데이터셋은 다음 제4장의 본 연구 방법론에 입력되어, 예측 모델 학습·SHAP 해석·TabNet 어텐션 추출·LLM 설명 생성에 차례로 활용된다.</w:t>
      </w:r>
    </w:p>
    <w:p>
      <w:pPr>
        <w:pStyle w:val="Heading3"/>
        <w:spacing w:line="480" w:lineRule="auto" w:before="240" w:after="120"/>
        <w:jc w:val="left"/>
      </w:pPr>
      <w:r>
        <w:rPr>
          <w:rFonts w:ascii="Times New Roman" w:hAnsi="Times New Roman" w:eastAsia="맑은 고딕"/>
          <w:b/>
          <w:color w:val="000000"/>
          <w:sz w:val="22"/>
        </w:rPr>
        <w:t>3.2.1 시스템 전체 구조</w:t>
      </w:r>
    </w:p>
    <w:p>
      <w:pPr>
        <w:spacing w:line="480" w:lineRule="auto" w:before="0" w:after="120"/>
        <w:ind w:firstLine="283"/>
        <w:jc w:val="left"/>
      </w:pPr>
      <w:r>
        <w:rPr>
          <w:rFonts w:ascii="Times New Roman" w:hAnsi="Times New Roman" w:eastAsia="맑은 고딕"/>
          <w:b w:val="0"/>
          <w:sz w:val="22"/>
        </w:rPr>
        <w:t>본 연구가 제안하는 시스템은 정형 데이터로부터 부도 확률 예측과 자연어 설명 리포트를 동시에 생성하는 4단계 파이프라인 구조를 갖는다(그림 4-1). 4단계는 다음과 같다.</w:t>
      </w:r>
    </w:p>
    <w:p>
      <w:pPr>
        <w:spacing w:line="240" w:lineRule="auto" w:before="240" w:after="0"/>
        <w:jc w:val="center"/>
      </w:pPr>
      <w:r>
        <w:drawing>
          <wp:inline xmlns:a="http://schemas.openxmlformats.org/drawingml/2006/main" xmlns:pic="http://schemas.openxmlformats.org/drawingml/2006/picture">
            <wp:extent cx="5040000" cy="2695814"/>
            <wp:docPr id="1" name="Picture 1"/>
            <wp:cNvGraphicFramePr>
              <a:graphicFrameLocks noChangeAspect="1"/>
            </wp:cNvGraphicFramePr>
            <a:graphic>
              <a:graphicData uri="http://schemas.openxmlformats.org/drawingml/2006/picture">
                <pic:pic>
                  <pic:nvPicPr>
                    <pic:cNvPr id="0" name="42_thesis_pipeline.png"/>
                    <pic:cNvPicPr/>
                  </pic:nvPicPr>
                  <pic:blipFill>
                    <a:blip r:embed="rId9"/>
                    <a:stretch>
                      <a:fillRect/>
                    </a:stretch>
                  </pic:blipFill>
                  <pic:spPr>
                    <a:xfrm>
                      <a:off x="0" y="0"/>
                      <a:ext cx="5040000" cy="2695814"/>
                    </a:xfrm>
                    <a:prstGeom prst="rect"/>
                  </pic:spPr>
                </pic:pic>
              </a:graphicData>
            </a:graphic>
          </wp:inline>
        </w:drawing>
      </w:r>
    </w:p>
    <w:p>
      <w:pPr>
        <w:spacing w:line="480" w:lineRule="auto" w:before="0" w:after="240"/>
        <w:jc w:val="center"/>
      </w:pPr>
      <w:r>
        <w:rPr>
          <w:rFonts w:ascii="Times New Roman" w:hAnsi="Times New Roman" w:eastAsia="맑은 고딕"/>
          <w:b/>
          <w:sz w:val="20"/>
        </w:rPr>
        <w:t>그림 4-1. 본 연구가 제안하는 시스템의 4단계 파이프라인 구조 — 예측 → 해석 → ★ 동의 기반 융합 컨텍스트 → LLM-RAG 자연어 생성 + 4-tier 평가</w:t>
      </w:r>
    </w:p>
    <w:p>
      <w:pPr>
        <w:spacing w:line="480" w:lineRule="auto" w:before="0" w:after="120"/>
        <w:ind w:firstLine="283"/>
        <w:jc w:val="left"/>
      </w:pPr>
      <w:r>
        <w:rPr>
          <w:rFonts w:ascii="Times New Roman" w:hAnsi="Times New Roman" w:eastAsia="맑은 고딕"/>
          <w:b w:val="0"/>
          <w:sz w:val="22"/>
        </w:rPr>
        <w:t>1. 예측 단계: XGBoost가 메인 예측 모델로 부도 확률 p (0~1 범위)을 산출한다. TabNet은 보조 모델로서 별도의 부도 확률 예측을 수행하면서, 동시에 인스턴스 수준의 어텐션 마스크 M_att 를 추출한다.</w:t>
      </w:r>
    </w:p>
    <w:p>
      <w:pPr>
        <w:spacing w:line="480" w:lineRule="auto" w:before="0" w:after="120"/>
        <w:ind w:firstLine="283"/>
        <w:jc w:val="left"/>
      </w:pPr>
      <w:r>
        <w:rPr>
          <w:rFonts w:ascii="Times New Roman" w:hAnsi="Times New Roman" w:eastAsia="맑은 고딕"/>
          <w:b w:val="0"/>
          <w:sz w:val="22"/>
        </w:rPr>
        <w:t>2. 해석 단계: XGBoost의 예측에 대해 TreeSHAP [16]을 적용하여 인스턴스별 변수 SHAP 값 phi (n차원 실수 벡터)을 산출하고, TabNet의 어텐션 마스크 M_att (값 범위 [0, 1]의 n차원 벡터)와 비교 가능한 형태로 정렬한다.</w:t>
      </w:r>
    </w:p>
    <w:p>
      <w:pPr>
        <w:spacing w:line="480" w:lineRule="auto" w:before="0" w:after="120"/>
        <w:ind w:firstLine="283"/>
        <w:jc w:val="left"/>
      </w:pPr>
      <w:r>
        <w:rPr>
          <w:rFonts w:ascii="Times New Roman" w:hAnsi="Times New Roman" w:eastAsia="맑은 고딕"/>
          <w:b w:val="0"/>
          <w:sz w:val="22"/>
        </w:rPr>
        <w:t>3. 융합 컨텍스트 구성 단계: SHAP 상위 k_shap 변수와 어텐션 상위 k_att 변수를 동의 그룹(agreed), SHAP 단독(shap_only), 어텐션 단독(attention_only) 의 세 그룹으로 분류한 JSON 컨텍스트를 생성한다. 이 단계에서 보호 속성에 해당하는 변수는 명시적으로 마스킹된다.</w:t>
      </w:r>
    </w:p>
    <w:p>
      <w:pPr>
        <w:spacing w:line="480" w:lineRule="auto" w:before="0" w:after="120"/>
        <w:ind w:firstLine="283"/>
        <w:jc w:val="left"/>
      </w:pPr>
      <w:r>
        <w:rPr>
          <w:rFonts w:ascii="Times New Roman" w:hAnsi="Times New Roman" w:eastAsia="맑은 고딕"/>
          <w:b w:val="0"/>
          <w:sz w:val="22"/>
        </w:rPr>
        <w:t>4. 자연어 생성 단계: 융합 컨텍스트를 LLM(Anthropic Claude 또는 Google Gemini)에 입력하여 한국어 자연어 설명 리포트를 생성한다. 생성 시점에는 hard constraint를 통해 컨텍스트 외부 정보의 인용을 금지하고, 5-section 구조의 출력 형식을 강제한다.</w:t>
      </w:r>
    </w:p>
    <w:p>
      <w:pPr>
        <w:spacing w:line="480" w:lineRule="auto" w:before="0" w:after="120"/>
        <w:ind w:firstLine="283"/>
        <w:jc w:val="left"/>
      </w:pPr>
      <w:r>
        <w:rPr>
          <w:rFonts w:ascii="Times New Roman" w:hAnsi="Times New Roman" w:eastAsia="맑은 고딕"/>
          <w:b w:val="0"/>
          <w:sz w:val="22"/>
        </w:rPr>
        <w:t>이 4단계 구조는 예측의 정확성, 해석의 보완성, 컨텍스트의 fact-grounding, 자연어의 사용자 친화성 이라는 네 가지 요건을 단계별로 분리하여 각자 최적화한다는 설계 철학을 반영한다.</w:t>
      </w:r>
    </w:p>
    <w:p>
      <w:pPr>
        <w:pStyle w:val="Heading3"/>
        <w:spacing w:line="480" w:lineRule="auto" w:before="240" w:after="120"/>
        <w:jc w:val="left"/>
      </w:pPr>
      <w:r>
        <w:rPr>
          <w:rFonts w:ascii="Times New Roman" w:hAnsi="Times New Roman" w:eastAsia="맑은 고딕"/>
          <w:b/>
          <w:color w:val="000000"/>
          <w:sz w:val="22"/>
        </w:rPr>
        <w:t>3.2.2 예측 모델 학습</w:t>
      </w:r>
    </w:p>
    <w:p>
      <w:pPr>
        <w:spacing w:line="480" w:lineRule="auto" w:before="0" w:after="120"/>
        <w:ind w:firstLine="283"/>
        <w:jc w:val="left"/>
      </w:pPr>
      <w:r>
        <w:rPr>
          <w:rFonts w:ascii="Times New Roman" w:hAnsi="Times New Roman" w:eastAsia="맑은 고딕"/>
          <w:b w:val="0"/>
          <w:sz w:val="22"/>
        </w:rPr>
        <w:t>#### (a) XGBoost (메인 예측 모델)</w:t>
      </w:r>
    </w:p>
    <w:p>
      <w:pPr>
        <w:spacing w:line="480" w:lineRule="auto" w:before="0" w:after="120"/>
        <w:ind w:firstLine="283"/>
        <w:jc w:val="left"/>
      </w:pPr>
      <w:r>
        <w:rPr>
          <w:rFonts w:ascii="Times New Roman" w:hAnsi="Times New Roman" w:eastAsia="맑은 고딕"/>
          <w:b w:val="0"/>
          <w:sz w:val="22"/>
        </w:rPr>
        <w:t>XGBoost는 그래디언트 부스팅 트리의 정규화·병렬 학습 구현으로, 본 연구의 메인 예측 모델로 활용된다. 본 연구는 다음 hyperparameter로 학습한다: 트리 개수 500, 최대 깊이 6, 학습률 0.05, 부분 표본률(subsample) 0.9, 컬럼 부분 표본률(colsample_bytree) 0.9, 클래스 불균형 보정을 위한 scale_pos_weight = (음성 표본 수) / (양성 표본 수). 평가 지표는 AUC를 사용하며 30 라운드의 조기 종료(early stopping)를 적용하여 검증 셋에서의 과적합을 방지한다. tree_method='hist' 옵션을 적용하여 대규모 데이터에서의 학습 속도를 향상시킨다.</w:t>
      </w:r>
    </w:p>
    <w:p>
      <w:pPr>
        <w:spacing w:line="480" w:lineRule="auto" w:before="0" w:after="120"/>
        <w:ind w:firstLine="283"/>
        <w:jc w:val="left"/>
      </w:pPr>
      <w:r>
        <w:rPr>
          <w:rFonts w:ascii="Times New Roman" w:hAnsi="Times New Roman" w:eastAsia="맑은 고딕"/>
          <w:b w:val="0"/>
          <w:sz w:val="22"/>
        </w:rPr>
        <w:t>UCI German Credit과 같은 소표본 데이터셋의 경우 트리 개수를 300, 최대 깊이를 4로 줄여 과적합을 방지한다. 본 연구의 모든 무작위성은 SEED=42로 고정하여 재현 가능성을 확보한다.</w:t>
      </w:r>
    </w:p>
    <w:p>
      <w:pPr>
        <w:spacing w:line="480" w:lineRule="auto" w:before="0" w:after="120"/>
        <w:ind w:firstLine="283"/>
        <w:jc w:val="left"/>
      </w:pPr>
      <w:r>
        <w:rPr>
          <w:rFonts w:ascii="Times New Roman" w:hAnsi="Times New Roman" w:eastAsia="맑은 고딕"/>
          <w:b w:val="0"/>
          <w:sz w:val="22"/>
        </w:rPr>
        <w:t>#### (b) TabNet (보조 + 어텐션 추출용)</w:t>
      </w:r>
    </w:p>
    <w:p>
      <w:pPr>
        <w:spacing w:line="480" w:lineRule="auto" w:before="0" w:after="120"/>
        <w:ind w:firstLine="283"/>
        <w:jc w:val="left"/>
      </w:pPr>
      <w:r>
        <w:rPr>
          <w:rFonts w:ascii="Times New Roman" w:hAnsi="Times New Roman" w:eastAsia="맑은 고딕"/>
          <w:b w:val="0"/>
          <w:sz w:val="22"/>
        </w:rPr>
        <w:t>TabNet은 보조 예측 모델 역할과 함께 인스턴스 수준 어텐션 마스크를 제공하는 핵심 역할을 수행한다. 본 연구는 Optuna 라이브러리를 활용한 hyperparameter 탐색을 통해 다음과 같은 최적 구성을 도출하였다(Home Credit 기준): n_d = 16, n_a = 16, n_steps = 3, gamma = 1.156, lambda_sparse = 1.31 × 10⁻⁵, 학습률 0.0367, mask type entmax. 옵티마이저는 AdamW(weight decay 10⁻⁵), 학습률 스케줄러는 StepLR(gamma = 0.7, step size 10)을 사용한다.</w:t>
      </w:r>
    </w:p>
    <w:p>
      <w:pPr>
        <w:spacing w:line="480" w:lineRule="auto" w:before="0" w:after="120"/>
        <w:ind w:firstLine="283"/>
        <w:jc w:val="left"/>
      </w:pPr>
      <w:r>
        <w:rPr>
          <w:rFonts w:ascii="Times New Roman" w:hAnsi="Times New Roman" w:eastAsia="맑은 고딕"/>
          <w:b w:val="0"/>
          <w:sz w:val="22"/>
        </w:rPr>
        <w:t>학습 시 batch_size=1024, virtual_batch_size=128(Home Credit), max_epochs=60, patience=12로 설정하며, GPU(NVIDIA GTX 1660 Ti, CUDA 12.1)에서 학습한다. UCI German Credit의 경우 데이터 규모에 맞춰 n_d = n_a = 8, n_steps = 3, batch_size=128, virtual_batch_size=32로 축소한다.</w:t>
      </w:r>
    </w:p>
    <w:p>
      <w:pPr>
        <w:spacing w:line="480" w:lineRule="auto" w:before="0" w:after="120"/>
        <w:ind w:firstLine="283"/>
        <w:jc w:val="left"/>
      </w:pPr>
      <w:r>
        <w:rPr>
          <w:rFonts w:ascii="Times New Roman" w:hAnsi="Times New Roman" w:eastAsia="맑은 고딕"/>
          <w:b w:val="0"/>
          <w:sz w:val="22"/>
        </w:rPr>
        <w:t>#### (c) 5-fold Stratified CV 평가</w:t>
      </w:r>
    </w:p>
    <w:p>
      <w:pPr>
        <w:spacing w:line="480" w:lineRule="auto" w:before="0" w:after="120"/>
        <w:ind w:firstLine="283"/>
        <w:jc w:val="left"/>
      </w:pPr>
      <w:r>
        <w:rPr>
          <w:rFonts w:ascii="Times New Roman" w:hAnsi="Times New Roman" w:eastAsia="맑은 고딕"/>
          <w:b w:val="0"/>
          <w:sz w:val="22"/>
        </w:rPr>
        <w:t>단일 train/test 분할에 의한 학습 결과의 변동성을 줄이기 위해 본 연구는 5-fold stratified cross-validation을 수행한다. 학습/검증 셋(전체 80%)을 5개 fold로 분할하고, 각 fold에서 4개를 학습에 1개를 검증에 사용한다. 매 fold마다 모델을 새로 학습한 후, 별도로 분리해 둔 테스트 셋(20%)에 대해 평가하여 mean ± std를 보고한다.</w:t>
      </w:r>
    </w:p>
    <w:p>
      <w:pPr>
        <w:spacing w:line="480" w:lineRule="auto" w:before="0" w:after="120"/>
        <w:ind w:firstLine="283"/>
        <w:jc w:val="left"/>
      </w:pPr>
      <w:r>
        <w:rPr>
          <w:rFonts w:ascii="Times New Roman" w:hAnsi="Times New Roman" w:eastAsia="맑은 고딕"/>
          <w:b w:val="0"/>
          <w:sz w:val="22"/>
        </w:rPr>
        <w:t>검증 셋에서는 Youden's J 통계량(J = TPR − FPR을 최대화하는 임계값)으로 분류 임계값을 결정하고, 동일 임계값을 테스트 셋에 적용한다. 이러한 절차는 임계값 결정에 테스트 셋 정보가 누출되는 것을 방지한다.</w:t>
      </w:r>
    </w:p>
    <w:p>
      <w:pPr>
        <w:spacing w:line="480" w:lineRule="auto" w:before="0" w:after="120"/>
        <w:ind w:firstLine="283"/>
        <w:jc w:val="left"/>
      </w:pPr>
      <w:r>
        <w:rPr>
          <w:rFonts w:ascii="Times New Roman" w:hAnsi="Times New Roman" w:eastAsia="맑은 고딕"/>
          <w:b w:val="0"/>
          <w:sz w:val="22"/>
        </w:rPr>
        <w:t>평가 지표는 AUROC, AUPRC, KS 통계량(KS = max|TPR − FPR|), F1 점수, 정밀도(Precision), 재현율(Recall)의 6개를 보고한다. 본 연구는 신용평가의 클래스 불균형 특성상 AUROC뿐만 아니라 AUPRC와 KS를 함께 강조한다.</w:t>
      </w:r>
    </w:p>
    <w:p>
      <w:pPr>
        <w:pStyle w:val="Heading3"/>
        <w:spacing w:line="480" w:lineRule="auto" w:before="240" w:after="120"/>
        <w:jc w:val="left"/>
      </w:pPr>
      <w:r>
        <w:rPr>
          <w:rFonts w:ascii="Times New Roman" w:hAnsi="Times New Roman" w:eastAsia="맑은 고딕"/>
          <w:b/>
          <w:color w:val="000000"/>
          <w:sz w:val="22"/>
        </w:rPr>
        <w:t>3.2.3 모델 해석</w:t>
      </w:r>
    </w:p>
    <w:p>
      <w:pPr>
        <w:spacing w:line="480" w:lineRule="auto" w:before="0" w:after="120"/>
        <w:ind w:firstLine="283"/>
        <w:jc w:val="left"/>
      </w:pPr>
      <w:r>
        <w:rPr>
          <w:rFonts w:ascii="Times New Roman" w:hAnsi="Times New Roman" w:eastAsia="맑은 고딕"/>
          <w:b w:val="0"/>
          <w:sz w:val="22"/>
        </w:rPr>
        <w:t>#### (a) SHAP local (XGBoost)</w:t>
      </w:r>
    </w:p>
    <w:p>
      <w:pPr>
        <w:spacing w:line="480" w:lineRule="auto" w:before="0" w:after="120"/>
        <w:ind w:firstLine="283"/>
        <w:jc w:val="left"/>
      </w:pPr>
      <w:r>
        <w:rPr>
          <w:rFonts w:ascii="Times New Roman" w:hAnsi="Times New Roman" w:eastAsia="맑은 고딕"/>
          <w:b w:val="0"/>
          <w:sz w:val="22"/>
        </w:rPr>
        <w:t>학습된 XGBoost 모델에 대해 인스턴스 수준의 SHAP 값을 산출한다. 본 연구는 SHAP 0.49 라이브러리와 XGBoost 3.x의 base_score 파싱 호환성 문제를 회피하기 위해, XGBoost의 native pred_contribs=True API를 직접 활용하는 사용자 정의 explainer(_XgbNativeExplainer)를 구현하였다. 이 우회 구현은 SHAP의 표준 인터페이스(expected_value, shap_values)를 동일하게 제공하면서, 두 라이브러리 버전 간의 간섭을 회피한다.</w:t>
      </w:r>
    </w:p>
    <w:p>
      <w:pPr>
        <w:spacing w:line="480" w:lineRule="auto" w:before="0" w:after="120"/>
        <w:ind w:firstLine="283"/>
        <w:jc w:val="left"/>
      </w:pPr>
      <w:r>
        <w:rPr>
          <w:rFonts w:ascii="Times New Roman" w:hAnsi="Times New Roman" w:eastAsia="맑은 고딕"/>
          <w:b w:val="0"/>
          <w:sz w:val="22"/>
        </w:rPr>
        <w:t>테스트 셋의 무작위 추출 100명에 대한 SHAP 값을 산출하고, 각 인스턴스별로 절대값 기준 상위 5개 변수(k_shap = 5)와 그 부호(sign_for_default ∈ {+, −})를 추출한다. + 부호는 해당 변수의 현재 값이 부도 가능성을 높이는 방향으로 작용함을, − 부호는 낮추는 방향으로 작용함을 의미한다.</w:t>
      </w:r>
    </w:p>
    <w:p>
      <w:pPr>
        <w:spacing w:line="480" w:lineRule="auto" w:before="0" w:after="120"/>
        <w:ind w:firstLine="283"/>
        <w:jc w:val="left"/>
      </w:pPr>
      <w:r>
        <w:rPr>
          <w:rFonts w:ascii="Times New Roman" w:hAnsi="Times New Roman" w:eastAsia="맑은 고딕"/>
          <w:b w:val="0"/>
          <w:sz w:val="22"/>
        </w:rPr>
        <w:t>전역 해석 차원에서는 테스트 셋 5,000명에 대한 평균 절대 SHAP 값(mean(|SHAP|))을 산출하여 변수 중요도 랭킹을 도출한다. Home Credit 데이터셋에서 이 랭킹의 상위는 외부 신용평가 점수 3개(EXT_SOURCE_2, EXT_SOURCE_3, EXT_SOURCE_1)가 차지하며, German Credit에서는 체크 계좌 상태(checking_status_no_checking), 대출 기간(duration), 신용 이력(credit_history_critical/other_existing_credit) 등이 상위에 분포한다.</w:t>
      </w:r>
    </w:p>
    <w:p>
      <w:pPr>
        <w:spacing w:line="480" w:lineRule="auto" w:before="0" w:after="120"/>
        <w:ind w:firstLine="283"/>
        <w:jc w:val="left"/>
      </w:pPr>
      <w:r>
        <w:rPr>
          <w:rFonts w:ascii="Times New Roman" w:hAnsi="Times New Roman" w:eastAsia="맑은 고딕"/>
          <w:b w:val="0"/>
          <w:sz w:val="22"/>
        </w:rPr>
        <w:t>#### (b) TabNet 어텐션 (instance-level)</w:t>
      </w:r>
    </w:p>
    <w:p>
      <w:pPr>
        <w:spacing w:line="480" w:lineRule="auto" w:before="0" w:after="120"/>
        <w:ind w:firstLine="283"/>
        <w:jc w:val="left"/>
      </w:pPr>
      <w:r>
        <w:rPr>
          <w:rFonts w:ascii="Times New Roman" w:hAnsi="Times New Roman" w:eastAsia="맑은 고딕"/>
          <w:b w:val="0"/>
          <w:sz w:val="22"/>
        </w:rPr>
        <w:t>학습된 TabNet 모델의 clf.explain(X) API를 호출하여 인스턴스별 어텐션 마스크 M_explain (n × d 차원, 값 범위 [0, 1])를 추출한다. 이는 TabNet의 모든 step에서 산출된 어텐션 마스크의 합산이며, 본 연구에서는 각 인스턴스에 대해 어텐션 값이 큰 상위 5개 변수(k_att = 5)를 추출한다.</w:t>
      </w:r>
    </w:p>
    <w:p>
      <w:pPr>
        <w:spacing w:line="480" w:lineRule="auto" w:before="0" w:after="120"/>
        <w:ind w:firstLine="283"/>
        <w:jc w:val="left"/>
      </w:pPr>
      <w:r>
        <w:rPr>
          <w:rFonts w:ascii="Times New Roman" w:hAnsi="Times New Roman" w:eastAsia="맑은 고딕"/>
          <w:b w:val="0"/>
          <w:sz w:val="22"/>
        </w:rPr>
        <w:t>SHAP과 달리 어텐션 마스크는 모두 비음수(non-negative) 값으로 구성되며, sparsemax 활성화 함수의 특성상 sparse한 분포를 보인다. 즉 모든 변수에 0이 아닌 값을 부여하는 SHAP과 달리, TabNet 어텐션은 일부 변수에만 0이 아닌 값을 부여한다. 이러한 차이는 두 해석 모델이 다른 관점 을 제공함을 시사한다.</w:t>
      </w:r>
    </w:p>
    <w:p>
      <w:pPr>
        <w:spacing w:line="480" w:lineRule="auto" w:before="0" w:after="120"/>
        <w:ind w:firstLine="283"/>
        <w:jc w:val="left"/>
      </w:pPr>
      <w:r>
        <w:rPr>
          <w:rFonts w:ascii="Times New Roman" w:hAnsi="Times New Roman" w:eastAsia="맑은 고딕"/>
          <w:b w:val="0"/>
          <w:sz w:val="22"/>
        </w:rPr>
        <w:t>#### (c) SHAP × 어텐션 일관성 분석</w:t>
      </w:r>
    </w:p>
    <w:p>
      <w:pPr>
        <w:spacing w:line="480" w:lineRule="auto" w:before="0" w:after="120"/>
        <w:ind w:firstLine="283"/>
        <w:jc w:val="left"/>
      </w:pPr>
      <w:r>
        <w:rPr>
          <w:rFonts w:ascii="Times New Roman" w:hAnsi="Times New Roman" w:eastAsia="맑은 고딕"/>
          <w:b w:val="0"/>
          <w:sz w:val="22"/>
        </w:rPr>
        <w:t>두 해석 모델의 일관성을 정량 평가하기 위해 변수별 평균 |SHAP|과 평균 어텐션의 Spearman 순위 상관계수(ρ)와 Top-K 중복률(overlap)을 산출한다. Spearman 상관계수는 두 변수의 순위 일관성을 측정하며, Top-K 중복률은 SHAP 상위 K개와 어텐션 상위 K개 변수 집합의 교집합 비율을 측정한다.</w:t>
      </w:r>
    </w:p>
    <w:p>
      <w:pPr>
        <w:spacing w:line="480" w:lineRule="auto" w:before="0" w:after="120"/>
        <w:ind w:firstLine="283"/>
        <w:jc w:val="left"/>
      </w:pPr>
      <w:r>
        <w:rPr>
          <w:rFonts w:ascii="Times New Roman" w:hAnsi="Times New Roman" w:eastAsia="맑은 고딕"/>
          <w:b w:val="0"/>
          <w:sz w:val="22"/>
        </w:rPr>
        <w:t>Home Credit 데이터셋의 분석 결과 전체 변수에 대한 Spearman ρ = 0.117, Top-50 중복률은 약 0.32 수준으로 약한 양의 상관과 중간 정도의 중복 이 관찰된다. 같은 분석을 UCI German Credit에 적용한 결과 ρ = 0.114, Top-10 중복률 0.40, Top-20 중복률 0.35로 거의 동일한 패턴이 확인된다. 이는 부분적 일관 + 부분적 상보 의 패턴이 신용평가 도메인의 일반 패턴임을 시사하며, 본 연구가 두 해석 모델을 융합하는 정당성을 정량적으로 뒷받침한다.</w:t>
      </w:r>
    </w:p>
    <w:p>
      <w:pPr>
        <w:pStyle w:val="Heading3"/>
        <w:spacing w:line="480" w:lineRule="auto" w:before="240" w:after="120"/>
        <w:jc w:val="left"/>
      </w:pPr>
      <w:r>
        <w:rPr>
          <w:rFonts w:ascii="Times New Roman" w:hAnsi="Times New Roman" w:eastAsia="맑은 고딕"/>
          <w:b/>
          <w:color w:val="000000"/>
          <w:sz w:val="22"/>
        </w:rPr>
        <w:t>3.2.4 Agreement-aware Fusion Context (★ 본 연구의 핵심 기여)</w:t>
      </w:r>
    </w:p>
    <w:p>
      <w:pPr>
        <w:spacing w:line="480" w:lineRule="auto" w:before="0" w:after="120"/>
        <w:ind w:firstLine="283"/>
        <w:jc w:val="left"/>
      </w:pPr>
      <w:r>
        <w:rPr>
          <w:rFonts w:ascii="Times New Roman" w:hAnsi="Times New Roman" w:eastAsia="맑은 고딕"/>
          <w:b w:val="0"/>
          <w:sz w:val="22"/>
        </w:rPr>
        <w:t>본 연구의 가장 중요한 기여는 SHAP과 TabNet 어텐션을 인스턴스 수준에서 융합한 동의 기반(agreement-aware) 컨텍스트의 신규 설계이다. 본 절은 이 컨텍스트의 구성 원리와 JSON 형식을 상세히 기술한다.</w:t>
      </w:r>
    </w:p>
    <w:p>
      <w:pPr>
        <w:spacing w:line="480" w:lineRule="auto" w:before="0" w:after="120"/>
        <w:ind w:firstLine="283"/>
        <w:jc w:val="left"/>
      </w:pPr>
      <w:r>
        <w:rPr>
          <w:rFonts w:ascii="Times New Roman" w:hAnsi="Times New Roman" w:eastAsia="맑은 고딕"/>
          <w:b w:val="0"/>
          <w:sz w:val="22"/>
        </w:rPr>
        <w:t>#### (a) 3-그룹 분류</w:t>
      </w:r>
    </w:p>
    <w:p>
      <w:pPr>
        <w:spacing w:line="480" w:lineRule="auto" w:before="0" w:after="120"/>
        <w:ind w:firstLine="283"/>
        <w:jc w:val="left"/>
      </w:pPr>
      <w:r>
        <w:rPr>
          <w:rFonts w:ascii="Times New Roman" w:hAnsi="Times New Roman" w:eastAsia="맑은 고딕"/>
          <w:b w:val="0"/>
          <w:sz w:val="22"/>
        </w:rPr>
        <w:t>각 인스턴스 x 에 대해 SHAP 상위 k 개 변수 집합을 S_shap(x), 어텐션 상위 k 개 변수 집합을 S_att(x) 라 하면, 이 두 집합은 다음 세 그룹으로 분해된다.</w:t>
      </w:r>
    </w:p>
    <w:p>
      <w:pPr>
        <w:spacing w:line="480" w:lineRule="auto" w:before="0" w:after="120"/>
        <w:ind w:firstLine="283"/>
        <w:jc w:val="left"/>
      </w:pPr>
      <w:r>
        <w:rPr>
          <w:rFonts w:ascii="Times New Roman" w:hAnsi="Times New Roman" w:eastAsia="맑은 고딕"/>
          <w:b w:val="0"/>
          <w:sz w:val="22"/>
        </w:rPr>
        <w:t>• agreed: S_shap(x) ∩ S_att(x) (두 집합의 교집합)</w:t>
      </w:r>
    </w:p>
    <w:p>
      <w:pPr>
        <w:spacing w:line="480" w:lineRule="auto" w:before="0" w:after="120"/>
        <w:ind w:firstLine="283"/>
        <w:jc w:val="left"/>
      </w:pPr>
      <w:r>
        <w:rPr>
          <w:rFonts w:ascii="Times New Roman" w:hAnsi="Times New Roman" w:eastAsia="맑은 고딕"/>
          <w:b w:val="0"/>
          <w:sz w:val="22"/>
        </w:rPr>
        <w:t>• shap_only: S_shap(x) − S_att(x) (SHAP에만 속하는 변수)</w:t>
      </w:r>
    </w:p>
    <w:p>
      <w:pPr>
        <w:spacing w:line="480" w:lineRule="auto" w:before="0" w:after="120"/>
        <w:ind w:firstLine="283"/>
        <w:jc w:val="left"/>
      </w:pPr>
      <w:r>
        <w:rPr>
          <w:rFonts w:ascii="Times New Roman" w:hAnsi="Times New Roman" w:eastAsia="맑은 고딕"/>
          <w:b w:val="0"/>
          <w:sz w:val="22"/>
        </w:rPr>
        <w:t>• attention_only: S_att(x) − S_shap(x) (어텐션에만 속하는 변수)</w:t>
      </w:r>
    </w:p>
    <w:p>
      <w:pPr>
        <w:spacing w:line="480" w:lineRule="auto" w:before="0" w:after="120"/>
        <w:ind w:firstLine="283"/>
        <w:jc w:val="left"/>
      </w:pPr>
      <w:r>
        <w:rPr>
          <w:rFonts w:ascii="Times New Roman" w:hAnsi="Times New Roman" w:eastAsia="맑은 고딕"/>
          <w:b w:val="0"/>
          <w:sz w:val="22"/>
        </w:rPr>
        <w:t>agreed 그룹은 두 해석 모델이 모두 주목한 변수들로, 본 연구는 이를 가장 신뢰할 수 있는 강한 신호 로 정의한다. shap_only 그룹은 SHAP의 부호 정보를 갖지만 어텐션이 주목하지 않은 변수들로 보완 신호, attention_only 그룹은 부호 정보 없이 어텐션이 주목한 변수들로 추가 참고 정보 로 분류된다.</w:t>
      </w:r>
    </w:p>
    <w:p>
      <w:pPr>
        <w:spacing w:line="480" w:lineRule="auto" w:before="0" w:after="120"/>
        <w:ind w:firstLine="283"/>
        <w:jc w:val="left"/>
      </w:pPr>
      <w:r>
        <w:rPr>
          <w:rFonts w:ascii="Times New Roman" w:hAnsi="Times New Roman" w:eastAsia="맑은 고딕"/>
          <w:b w:val="0"/>
          <w:sz w:val="22"/>
        </w:rPr>
        <w:t>Home Credit 데이터셋의 100개 인스턴스에 대한 분석 결과 평균 agreed 그룹 크기는 2.12개로 (k=5 기준 약 42%의 동의율), n_agreed 분포는 0~3개 범위에서 변동하였으며 4개 이상의 동의는 발생하지 않았다. 이는 두 해석 모델이 부분적으로만 동의함을 정량적으로 보여준다.</w:t>
      </w:r>
    </w:p>
    <w:p>
      <w:pPr>
        <w:spacing w:line="480" w:lineRule="auto" w:before="0" w:after="120"/>
        <w:ind w:firstLine="283"/>
        <w:jc w:val="left"/>
      </w:pPr>
      <w:r>
        <w:rPr>
          <w:rFonts w:ascii="Times New Roman" w:hAnsi="Times New Roman" w:eastAsia="맑은 고딕"/>
          <w:b w:val="0"/>
          <w:sz w:val="22"/>
        </w:rPr>
        <w:t>#### (b) 보호 속성 마스킹</w:t>
      </w:r>
    </w:p>
    <w:p>
      <w:pPr>
        <w:spacing w:line="480" w:lineRule="auto" w:before="0" w:after="120"/>
        <w:ind w:firstLine="283"/>
        <w:jc w:val="left"/>
      </w:pPr>
      <w:r>
        <w:rPr>
          <w:rFonts w:ascii="Times New Roman" w:hAnsi="Times New Roman" w:eastAsia="맑은 고딕"/>
          <w:b w:val="0"/>
          <w:sz w:val="22"/>
        </w:rPr>
        <w:t>LLM 기반 자연어 설명에서 차주에게 노출되는 텍스트에 보호 속성이 직접 언급되지 않도록, 본 연구는 컨텍스트 구성 단계에서 다음 변수들을 명시적으로 마스킹한다.</w:t>
      </w:r>
    </w:p>
    <w:p>
      <w:pPr>
        <w:spacing w:line="480" w:lineRule="auto" w:before="0" w:after="120"/>
        <w:ind w:firstLine="283"/>
        <w:jc w:val="left"/>
      </w:pPr>
      <w:r>
        <w:rPr>
          <w:rFonts w:ascii="Times New Roman" w:hAnsi="Times New Roman" w:eastAsia="맑은 고딕"/>
          <w:b w:val="0"/>
          <w:sz w:val="22"/>
        </w:rPr>
        <w:t>• Home Credit: CODE_GENDER, DAYS_BIRTH(연령으로 변환되는 변수)</w:t>
      </w:r>
    </w:p>
    <w:p>
      <w:pPr>
        <w:spacing w:line="480" w:lineRule="auto" w:before="0" w:after="120"/>
        <w:ind w:firstLine="283"/>
        <w:jc w:val="left"/>
      </w:pPr>
      <w:r>
        <w:rPr>
          <w:rFonts w:ascii="Times New Roman" w:hAnsi="Times New Roman" w:eastAsia="맑은 고딕"/>
          <w:b w:val="0"/>
          <w:sz w:val="22"/>
        </w:rPr>
        <w:t>• UCI German Credit: age, personal_status_(성별 결합 변수), GENDER_(분해된 성별 변수), foreign_worker_*</w:t>
      </w:r>
    </w:p>
    <w:p>
      <w:pPr>
        <w:spacing w:line="480" w:lineRule="auto" w:before="0" w:after="120"/>
        <w:ind w:firstLine="283"/>
        <w:jc w:val="left"/>
      </w:pPr>
      <w:r>
        <w:rPr>
          <w:rFonts w:ascii="Times New Roman" w:hAnsi="Times New Roman" w:eastAsia="맑은 고딕"/>
          <w:b w:val="0"/>
          <w:sz w:val="22"/>
        </w:rPr>
        <w:t>이 변수들이 SHAP 또는 어텐션 상위에 포함되어 있는 경우, 컨텍스트의 모든 그룹에서 제거하여 LLM이 이 변수들을 인용할 가능성을 원천 차단한다. 마스킹된 변수 목록은 컨텍스트 메타데이터에 masked_sensitive_features 필드로 포함되어, 후속 평가에서 마스킹의 정상 작동을 검증할 수 있다.</w:t>
      </w:r>
    </w:p>
    <w:p>
      <w:pPr>
        <w:spacing w:line="480" w:lineRule="auto" w:before="0" w:after="120"/>
        <w:ind w:firstLine="283"/>
        <w:jc w:val="left"/>
      </w:pPr>
      <w:r>
        <w:rPr>
          <w:rFonts w:ascii="Times New Roman" w:hAnsi="Times New Roman" w:eastAsia="맑은 고딕"/>
          <w:b w:val="0"/>
          <w:sz w:val="22"/>
        </w:rPr>
        <w:t>#### (c) JSON 컨텍스트 구조</w:t>
      </w:r>
    </w:p>
    <w:p>
      <w:pPr>
        <w:spacing w:line="480" w:lineRule="auto" w:before="0" w:after="120"/>
        <w:ind w:firstLine="283"/>
        <w:jc w:val="left"/>
      </w:pPr>
      <w:r>
        <w:rPr>
          <w:rFonts w:ascii="Times New Roman" w:hAnsi="Times New Roman" w:eastAsia="맑은 고딕"/>
          <w:b w:val="0"/>
          <w:sz w:val="22"/>
        </w:rPr>
        <w:t>융합 컨텍스트는 다음과 같은 JSON 구조로 LLM에 전달된다.</w:t>
      </w:r>
    </w:p>
    <w:p>
      <w:pPr>
        <w:spacing w:line="276" w:lineRule="auto" w:before="0" w:after="120"/>
      </w:pPr>
      <w:r>
        <w:rPr>
          <w:rFonts w:ascii="Consolas" w:hAnsi="Consolas"/>
          <w:sz w:val="18"/>
        </w:rPr>
        <w:t>{</w:t>
        <w:br/>
        <w:t xml:space="preserve">  "sample_idx": 12345,</w:t>
        <w:br/>
        <w:t xml:space="preserve">  "decision": "REJECT",</w:t>
        <w:br/>
        <w:t xml:space="preserve">  "default_probability": 0.7823,</w:t>
        <w:br/>
        <w:t xml:space="preserve">  "threshold": 0.4762,</w:t>
        <w:br/>
        <w:t xml:space="preserve">  "agreed_drivers": [</w:t>
        <w:br/>
        <w:t xml:space="preserve">    {</w:t>
        <w:br/>
        <w:t xml:space="preserve">      "feature": "외부 신용평가 점수 3",</w:t>
        <w:br/>
        <w:t xml:space="preserve">      "feature_raw": "EXT_SOURCE_3",</w:t>
        <w:br/>
        <w:t xml:space="preserve">      "value": "0.10",</w:t>
        <w:br/>
        <w:t xml:space="preserve">      "rank": 1,</w:t>
        <w:br/>
        <w:t xml:space="preserve">      "group": "agreed",</w:t>
        <w:br/>
        <w:t xml:space="preserve">      "shap": 0.95,</w:t>
        <w:br/>
        <w:t xml:space="preserve">      "sign_for_default": "+",</w:t>
        <w:br/>
        <w:t xml:space="preserve">      "attention": 0.234</w:t>
        <w:br/>
        <w:t xml:space="preserve">    }</w:t>
        <w:br/>
        <w:t xml:space="preserve">  ],</w:t>
        <w:br/>
        <w:t xml:space="preserve">  "shap_only_drivers": [...],</w:t>
        <w:br/>
        <w:t xml:space="preserve">  "attention_only_drivers": [...],</w:t>
        <w:br/>
        <w:t xml:space="preserve">  "n_agreed": 1,</w:t>
        <w:br/>
        <w:t xml:space="preserve">  "n_shap_only": 4,</w:t>
        <w:br/>
        <w:t xml:space="preserve">  "n_attention_only": 4,</w:t>
        <w:br/>
        <w:t xml:space="preserve">  "model_predict": "XGBoost",</w:t>
        <w:br/>
        <w:t xml:space="preserve">  "model_explain": ["SHAP_xgb_local", "TabNet_attention_local"],</w:t>
        <w:br/>
        <w:t xml:space="preserve">  "explanation_policy": "fact_only_with_agreement_labels",</w:t>
        <w:br/>
        <w:t xml:space="preserve">  "masked_sensitive_features": ["CODE_GENDER", "DAYS_BIRTH"]</w:t>
        <w:br/>
        <w:t>}</w:t>
      </w:r>
    </w:p>
    <w:p>
      <w:pPr>
        <w:spacing w:line="480" w:lineRule="auto" w:before="0" w:after="120"/>
        <w:ind w:firstLine="283"/>
        <w:jc w:val="left"/>
      </w:pPr>
      <w:r>
        <w:rPr>
          <w:rFonts w:ascii="Times New Roman" w:hAnsi="Times New Roman" w:eastAsia="맑은 고딕"/>
          <w:b w:val="0"/>
          <w:sz w:val="22"/>
        </w:rPr>
        <w:t>각 driver entry는 변수의 한국어 라벨(feature)과 원시 컬럼명(feature_raw), 사람-친화 형식의 값(value), 그룹 분류(group), SHAP 값과 부호(shap, sign_for_default), 어텐션 점수(attention)를 포함한다. attention_only 그룹의 entry에는 shap과 sign_for_default 필드가 누락되며, 이는 LLM이 부호 정보를 추정하지 않도록 명시적으로 알리는 역할을 한다.</w:t>
      </w:r>
    </w:p>
    <w:p>
      <w:pPr>
        <w:pStyle w:val="Heading3"/>
        <w:spacing w:line="480" w:lineRule="auto" w:before="240" w:after="120"/>
        <w:jc w:val="left"/>
      </w:pPr>
      <w:r>
        <w:rPr>
          <w:rFonts w:ascii="Times New Roman" w:hAnsi="Times New Roman" w:eastAsia="맑은 고딕"/>
          <w:b/>
          <w:color w:val="000000"/>
          <w:sz w:val="22"/>
        </w:rPr>
        <w:t>3.2.5 LLM-RAG 자연어 설명 생성</w:t>
      </w:r>
    </w:p>
    <w:p>
      <w:pPr>
        <w:spacing w:line="480" w:lineRule="auto" w:before="0" w:after="120"/>
        <w:ind w:firstLine="283"/>
        <w:jc w:val="left"/>
      </w:pPr>
      <w:r>
        <w:rPr>
          <w:rFonts w:ascii="Times New Roman" w:hAnsi="Times New Roman" w:eastAsia="맑은 고딕"/>
          <w:b w:val="0"/>
          <w:sz w:val="22"/>
        </w:rPr>
        <w:t>#### (a) 4-mode 컨텍스트 비교</w:t>
      </w:r>
    </w:p>
    <w:p>
      <w:pPr>
        <w:spacing w:line="480" w:lineRule="auto" w:before="0" w:after="120"/>
        <w:ind w:firstLine="283"/>
        <w:jc w:val="left"/>
      </w:pPr>
      <w:r>
        <w:rPr>
          <w:rFonts w:ascii="Times New Roman" w:hAnsi="Times New Roman" w:eastAsia="맑은 고딕"/>
          <w:b w:val="0"/>
          <w:sz w:val="22"/>
        </w:rPr>
        <w:t>본 연구는 융합 컨텍스트의 차별성을 입증하기 위해 동일한 30개 인스턴스에 대해 4가지 컨텍스트 모드를 적용하여 비교한다.</w:t>
      </w:r>
    </w:p>
    <w:p>
      <w:pPr>
        <w:spacing w:line="480" w:lineRule="auto" w:before="0" w:after="120"/>
        <w:ind w:firstLine="283"/>
        <w:jc w:val="left"/>
      </w:pPr>
      <w:r>
        <w:rPr>
          <w:rFonts w:ascii="Times New Roman" w:hAnsi="Times New Roman" w:eastAsia="맑은 고딕"/>
          <w:b w:val="0"/>
          <w:sz w:val="22"/>
        </w:rPr>
        <w:t>• no_shap: 원시 변수와 값만 포함, SHAP/어텐션 정보 없음. 자유 추론 baseline.</w:t>
      </w:r>
    </w:p>
    <w:p>
      <w:pPr>
        <w:spacing w:line="480" w:lineRule="auto" w:before="0" w:after="120"/>
        <w:ind w:firstLine="283"/>
        <w:jc w:val="left"/>
      </w:pPr>
      <w:r>
        <w:rPr>
          <w:rFonts w:ascii="Times New Roman" w:hAnsi="Times New Roman" w:eastAsia="맑은 고딕"/>
          <w:b w:val="0"/>
          <w:sz w:val="22"/>
        </w:rPr>
        <w:t>• generic_rag: 원시 변수 + 7개의 일반 도메인 지식 chunks + hard constraint. SHAP은 없으나 도메인 지식이 RAG 형태로 제공된다.</w:t>
      </w:r>
    </w:p>
    <w:p>
      <w:pPr>
        <w:spacing w:line="480" w:lineRule="auto" w:before="0" w:after="120"/>
        <w:ind w:firstLine="283"/>
        <w:jc w:val="left"/>
      </w:pPr>
      <w:r>
        <w:rPr>
          <w:rFonts w:ascii="Times New Roman" w:hAnsi="Times New Roman" w:eastAsia="맑은 고딕"/>
          <w:b w:val="0"/>
          <w:sz w:val="22"/>
        </w:rPr>
        <w:t>• shaponly: SHAP 상위 5개 변수와 부호 정보 + hard constraint. TabNet 어텐션 없음.</w:t>
      </w:r>
    </w:p>
    <w:p>
      <w:pPr>
        <w:spacing w:line="480" w:lineRule="auto" w:before="0" w:after="120"/>
        <w:ind w:firstLine="283"/>
        <w:jc w:val="left"/>
      </w:pPr>
      <w:r>
        <w:rPr>
          <w:rFonts w:ascii="Times New Roman" w:hAnsi="Times New Roman" w:eastAsia="맑은 고딕"/>
          <w:b w:val="0"/>
          <w:sz w:val="22"/>
        </w:rPr>
        <w:t>• fusion: 본 연구의 동의 기반 융합 컨텍스트(4.4절). SHAP + TabNet 어텐션 모두 활용.</w:t>
      </w:r>
    </w:p>
    <w:p>
      <w:pPr>
        <w:spacing w:line="480" w:lineRule="auto" w:before="0" w:after="120"/>
        <w:ind w:firstLine="283"/>
        <w:jc w:val="left"/>
      </w:pPr>
      <w:r>
        <w:rPr>
          <w:rFonts w:ascii="Times New Roman" w:hAnsi="Times New Roman" w:eastAsia="맑은 고딕"/>
          <w:b w:val="0"/>
          <w:sz w:val="22"/>
        </w:rPr>
        <w:t>이 4-mode 비교는 환각 차단의 충분조건 과 fact-grounded 충실성의 차별 조건 을 분리하여 검증하기 위해 설계되었다. 즉, hard constraint만으로 환각이 차단된다면, 그 차단된 baseline 위에서 SHAP 정보 추가 여부와 TabNet 어텐션 추가 여부가 어떤 추가적 가치를 제공하는지를 정량적으로 분리할 수 있다.</w:t>
      </w:r>
    </w:p>
    <w:p>
      <w:pPr>
        <w:spacing w:line="480" w:lineRule="auto" w:before="0" w:after="120"/>
        <w:ind w:firstLine="283"/>
        <w:jc w:val="left"/>
      </w:pPr>
      <w:r>
        <w:rPr>
          <w:rFonts w:ascii="Times New Roman" w:hAnsi="Times New Roman" w:eastAsia="맑은 고딕"/>
          <w:b w:val="0"/>
          <w:sz w:val="22"/>
        </w:rPr>
        <w:t>#### (b) Hard Constraints</w:t>
      </w:r>
    </w:p>
    <w:p>
      <w:pPr>
        <w:spacing w:line="480" w:lineRule="auto" w:before="0" w:after="120"/>
        <w:ind w:firstLine="283"/>
        <w:jc w:val="left"/>
      </w:pPr>
      <w:r>
        <w:rPr>
          <w:rFonts w:ascii="Times New Roman" w:hAnsi="Times New Roman" w:eastAsia="맑은 고딕"/>
          <w:b w:val="0"/>
          <w:sz w:val="22"/>
        </w:rPr>
        <w:t>모든 모드의 LLM 프롬프트는 다음 5가지 hard constraint를 명시적으로 포함한다.</w:t>
      </w:r>
    </w:p>
    <w:p>
      <w:pPr>
        <w:spacing w:line="480" w:lineRule="auto" w:before="0" w:after="120"/>
        <w:ind w:firstLine="283"/>
        <w:jc w:val="left"/>
      </w:pPr>
      <w:r>
        <w:rPr>
          <w:rFonts w:ascii="Times New Roman" w:hAnsi="Times New Roman" w:eastAsia="맑은 고딕"/>
          <w:b w:val="0"/>
          <w:sz w:val="22"/>
        </w:rPr>
        <w:t>1. 컨텍스트에 명시된 변수와 값만 인용한다. 컨텍스트에 없는 변수, 수치, 전화번호, 상품명을 절대 생성하지 않는다.</w:t>
      </w:r>
    </w:p>
    <w:p>
      <w:pPr>
        <w:spacing w:line="480" w:lineRule="auto" w:before="0" w:after="120"/>
        <w:ind w:firstLine="283"/>
        <w:jc w:val="left"/>
      </w:pPr>
      <w:r>
        <w:rPr>
          <w:rFonts w:ascii="Times New Roman" w:hAnsi="Times New Roman" w:eastAsia="맑은 고딕"/>
          <w:b w:val="0"/>
          <w:sz w:val="22"/>
        </w:rPr>
        <w:t>2. 의료·법률 자문, 단정적 미래 예측, 특정 금융 상품 추천을 하지 않는다.</w:t>
      </w:r>
    </w:p>
    <w:p>
      <w:pPr>
        <w:spacing w:line="480" w:lineRule="auto" w:before="0" w:after="120"/>
        <w:ind w:firstLine="283"/>
        <w:jc w:val="left"/>
      </w:pPr>
      <w:r>
        <w:rPr>
          <w:rFonts w:ascii="Times New Roman" w:hAnsi="Times New Roman" w:eastAsia="맑은 고딕"/>
          <w:b w:val="0"/>
          <w:sz w:val="22"/>
        </w:rPr>
        <w:t>3. 민감 변수(성별·연령·인종·종교·출신 지역)를 직접 언급하지 않는다.</w:t>
      </w:r>
    </w:p>
    <w:p>
      <w:pPr>
        <w:spacing w:line="480" w:lineRule="auto" w:before="0" w:after="120"/>
        <w:ind w:firstLine="283"/>
        <w:jc w:val="left"/>
      </w:pPr>
      <w:r>
        <w:rPr>
          <w:rFonts w:ascii="Times New Roman" w:hAnsi="Times New Roman" w:eastAsia="맑은 고딕"/>
          <w:b w:val="0"/>
          <w:sz w:val="22"/>
        </w:rPr>
        <w:t>4. 거절 사유는 컨텍스트의 부도 가능성을 높이는 변수에서, 긍정 요인은 부도 가능성을 낮추는 변수에서만 선택한다.</w:t>
      </w:r>
    </w:p>
    <w:p>
      <w:pPr>
        <w:spacing w:line="480" w:lineRule="auto" w:before="0" w:after="120"/>
        <w:ind w:firstLine="283"/>
        <w:jc w:val="left"/>
      </w:pPr>
      <w:r>
        <w:rPr>
          <w:rFonts w:ascii="Times New Roman" w:hAnsi="Times New Roman" w:eastAsia="맑은 고딕"/>
          <w:b w:val="0"/>
          <w:sz w:val="22"/>
        </w:rPr>
        <w:t>5. SHAP 부호를 정확히 반영한다 (양수=부도 가능성↑, 음수=부도 가능성↓).</w:t>
      </w:r>
    </w:p>
    <w:p>
      <w:pPr>
        <w:spacing w:line="480" w:lineRule="auto" w:before="0" w:after="120"/>
        <w:ind w:firstLine="283"/>
        <w:jc w:val="left"/>
      </w:pPr>
      <w:r>
        <w:rPr>
          <w:rFonts w:ascii="Times New Roman" w:hAnsi="Times New Roman" w:eastAsia="맑은 고딕"/>
          <w:b w:val="0"/>
          <w:sz w:val="22"/>
        </w:rPr>
        <w:t>#### (c) LLM 모델 선택</w:t>
      </w:r>
    </w:p>
    <w:p>
      <w:pPr>
        <w:spacing w:line="480" w:lineRule="auto" w:before="0" w:after="120"/>
        <w:ind w:firstLine="283"/>
        <w:jc w:val="left"/>
      </w:pPr>
      <w:r>
        <w:rPr>
          <w:rFonts w:ascii="Times New Roman" w:hAnsi="Times New Roman" w:eastAsia="맑은 고딕"/>
          <w:b w:val="0"/>
          <w:sz w:val="22"/>
        </w:rPr>
        <w:t>본 연구는 단일 LLM에 대한 결과 의존성을 줄이기 위해 두 모델을 동시 활용한다.</w:t>
      </w:r>
    </w:p>
    <w:p>
      <w:pPr>
        <w:spacing w:line="480" w:lineRule="auto" w:before="0" w:after="120"/>
        <w:ind w:firstLine="283"/>
        <w:jc w:val="left"/>
      </w:pPr>
      <w:r>
        <w:rPr>
          <w:rFonts w:ascii="Times New Roman" w:hAnsi="Times New Roman" w:eastAsia="맑은 고딕"/>
          <w:b w:val="0"/>
          <w:sz w:val="22"/>
        </w:rPr>
        <w:t>• Anthropic Claude Sonnet 4.5 (claude-sonnet-4-5): 응답 안정성이 높고 hard constraint 준수율이 뛰어난 것으로 알려진 모델. 본 연구의 G-Eval judge로도 활용된다.</w:t>
      </w:r>
    </w:p>
    <w:p>
      <w:pPr>
        <w:spacing w:line="480" w:lineRule="auto" w:before="0" w:after="120"/>
        <w:ind w:firstLine="283"/>
        <w:jc w:val="left"/>
      </w:pPr>
      <w:r>
        <w:rPr>
          <w:rFonts w:ascii="Times New Roman" w:hAnsi="Times New Roman" w:eastAsia="맑은 고딕"/>
          <w:b w:val="0"/>
          <w:sz w:val="22"/>
        </w:rPr>
        <w:t>• Google Gemini 2.5 Flash (gemini-2.5-flash): 응답 길이가 비교적 길고 풍부한 표현을 생성하는 모델. 본 연구에서는 Anthropic의 cross-LLM 비교 대상이 된다.</w:t>
      </w:r>
    </w:p>
    <w:p>
      <w:pPr>
        <w:spacing w:line="480" w:lineRule="auto" w:before="0" w:after="120"/>
        <w:ind w:firstLine="283"/>
        <w:jc w:val="left"/>
      </w:pPr>
      <w:r>
        <w:rPr>
          <w:rFonts w:ascii="Times New Roman" w:hAnsi="Times New Roman" w:eastAsia="맑은 고딕"/>
          <w:b w:val="0"/>
          <w:sz w:val="22"/>
        </w:rPr>
        <w:t>두 모델 모두 paid tier API를 활용하여 안정적인 응답 품질과 시간을 확보한다. 본 연구는 자유 추론 모드(no_shap)와 RAG 모드(generic_rag, shaponly, fusion) 모두에서 동일한 두 LLM을 사용함으로써, 모델 의존성을 통제하면서 모드 간 차이를 분리한다.</w:t>
      </w:r>
    </w:p>
    <w:p>
      <w:pPr>
        <w:spacing w:line="480" w:lineRule="auto" w:before="0" w:after="120"/>
        <w:ind w:firstLine="283"/>
        <w:jc w:val="left"/>
      </w:pPr>
      <w:r>
        <w:rPr>
          <w:rFonts w:ascii="Times New Roman" w:hAnsi="Times New Roman" w:eastAsia="맑은 고딕"/>
          <w:b w:val="0"/>
          <w:sz w:val="22"/>
        </w:rPr>
        <w:t>#### (d) 출력 형식 (5-section)</w:t>
      </w:r>
    </w:p>
    <w:p>
      <w:pPr>
        <w:spacing w:line="480" w:lineRule="auto" w:before="0" w:after="120"/>
        <w:ind w:firstLine="283"/>
        <w:jc w:val="left"/>
      </w:pPr>
      <w:r>
        <w:rPr>
          <w:rFonts w:ascii="Times New Roman" w:hAnsi="Times New Roman" w:eastAsia="맑은 고딕"/>
          <w:b w:val="0"/>
          <w:sz w:val="22"/>
        </w:rPr>
        <w:t>생성된 자연어 설명 리포트는 다음 5개 섹션의 순서로 구성된다.</w:t>
      </w:r>
    </w:p>
    <w:p>
      <w:pPr>
        <w:spacing w:line="480" w:lineRule="auto" w:before="0" w:after="120"/>
        <w:ind w:firstLine="283"/>
        <w:jc w:val="left"/>
      </w:pPr>
      <w:r>
        <w:rPr>
          <w:rFonts w:ascii="Times New Roman" w:hAnsi="Times New Roman" w:eastAsia="맑은 고딕"/>
          <w:b w:val="0"/>
          <w:sz w:val="22"/>
        </w:rPr>
        <w:t>1. 결정 요약 (1줄): 최종 결정(REJECT/APPROVE)과 부도 확률, 임계값.</w:t>
      </w:r>
    </w:p>
    <w:p>
      <w:pPr>
        <w:spacing w:line="480" w:lineRule="auto" w:before="0" w:after="120"/>
        <w:ind w:firstLine="283"/>
        <w:jc w:val="left"/>
      </w:pPr>
      <w:r>
        <w:rPr>
          <w:rFonts w:ascii="Times New Roman" w:hAnsi="Times New Roman" w:eastAsia="맑은 고딕"/>
          <w:b w:val="0"/>
          <w:sz w:val="22"/>
        </w:rPr>
        <w:t>2. 주요 거절 사유 (REJECT일 때만, 최대 3개): 부도 가능성을 높인 주요 변수와 그 값.</w:t>
      </w:r>
    </w:p>
    <w:p>
      <w:pPr>
        <w:spacing w:line="480" w:lineRule="auto" w:before="0" w:after="120"/>
        <w:ind w:firstLine="283"/>
        <w:jc w:val="left"/>
      </w:pPr>
      <w:r>
        <w:rPr>
          <w:rFonts w:ascii="Times New Roman" w:hAnsi="Times New Roman" w:eastAsia="맑은 고딕"/>
          <w:b w:val="0"/>
          <w:sz w:val="22"/>
        </w:rPr>
        <w:t>3. 긍정적으로 평가된 요인 (최대 3개): 부도 가능성을 낮춘 변수와 그 값.</w:t>
      </w:r>
    </w:p>
    <w:p>
      <w:pPr>
        <w:spacing w:line="480" w:lineRule="auto" w:before="0" w:after="120"/>
        <w:ind w:firstLine="283"/>
        <w:jc w:val="left"/>
      </w:pPr>
      <w:r>
        <w:rPr>
          <w:rFonts w:ascii="Times New Roman" w:hAnsi="Times New Roman" w:eastAsia="맑은 고딕"/>
          <w:b w:val="0"/>
          <w:sz w:val="22"/>
        </w:rPr>
        <w:t>4. 개선 권고 (1~3개): 향후 신용도 개선을 위한 일반 안내.</w:t>
      </w:r>
    </w:p>
    <w:p>
      <w:pPr>
        <w:spacing w:line="480" w:lineRule="auto" w:before="0" w:after="120"/>
        <w:ind w:firstLine="283"/>
        <w:jc w:val="left"/>
      </w:pPr>
      <w:r>
        <w:rPr>
          <w:rFonts w:ascii="Times New Roman" w:hAnsi="Times New Roman" w:eastAsia="맑은 고딕"/>
          <w:b w:val="0"/>
          <w:sz w:val="22"/>
        </w:rPr>
        <w:t>5. 면책 고지 (1~2줄): 본 평가가 모델 기반 참고 정보이며 단정적 미래 예측이 아니라는 안내.</w:t>
      </w:r>
    </w:p>
    <w:p>
      <w:pPr>
        <w:spacing w:line="480" w:lineRule="auto" w:before="0" w:after="120"/>
        <w:ind w:firstLine="283"/>
        <w:jc w:val="left"/>
      </w:pPr>
      <w:r>
        <w:rPr>
          <w:rFonts w:ascii="Times New Roman" w:hAnsi="Times New Roman" w:eastAsia="맑은 고딕"/>
          <w:b w:val="0"/>
          <w:sz w:val="22"/>
        </w:rPr>
        <w:t>이 5-section 구조는 차주가 결과를 단계별로 이해할 수 있도록 설계된 것으로, 결정 → 사유 → 긍정 요인 → 개선 → 면책의 순서가 정보 흐름의 자연스러운 경로를 따른다.</w:t>
      </w:r>
    </w:p>
    <w:p>
      <w:pPr>
        <w:pStyle w:val="Heading3"/>
        <w:spacing w:line="480" w:lineRule="auto" w:before="240" w:after="120"/>
        <w:jc w:val="left"/>
      </w:pPr>
      <w:r>
        <w:rPr>
          <w:rFonts w:ascii="Times New Roman" w:hAnsi="Times New Roman" w:eastAsia="맑은 고딕"/>
          <w:b/>
          <w:color w:val="000000"/>
          <w:sz w:val="22"/>
        </w:rPr>
        <w:t>3.2.6 공정성-aware 학습</w:t>
      </w:r>
    </w:p>
    <w:p>
      <w:pPr>
        <w:spacing w:line="480" w:lineRule="auto" w:before="0" w:after="120"/>
        <w:ind w:firstLine="283"/>
        <w:jc w:val="left"/>
      </w:pPr>
      <w:r>
        <w:rPr>
          <w:rFonts w:ascii="Times New Roman" w:hAnsi="Times New Roman" w:eastAsia="맑은 고딕"/>
          <w:b w:val="0"/>
          <w:sz w:val="22"/>
        </w:rPr>
        <w:t>#### (a) Reweighing (Kamiran-Calders) — 사전 처리</w:t>
      </w:r>
    </w:p>
    <w:p>
      <w:pPr>
        <w:spacing w:line="480" w:lineRule="auto" w:before="0" w:after="120"/>
        <w:ind w:firstLine="283"/>
        <w:jc w:val="left"/>
      </w:pPr>
      <w:r>
        <w:rPr>
          <w:rFonts w:ascii="Times New Roman" w:hAnsi="Times New Roman" w:eastAsia="맑은 고딕"/>
          <w:b w:val="0"/>
          <w:sz w:val="22"/>
        </w:rPr>
        <w:t>본 연구는 사전 처리 공정성 보정 기법으로 Reweighing [9]을 적용한다. 이 기법은 학습 데이터의 각 인스턴스에 다음 가중치를 재할당한다.</w:t>
      </w:r>
    </w:p>
    <w:p>
      <w:pPr>
        <w:spacing w:line="360" w:lineRule="auto" w:before="120" w:after="120"/>
        <w:jc w:val="center"/>
      </w:pPr>
      <w:r>
        <w:rPr>
          <w:rFonts w:ascii="Times New Roman" w:hAnsi="Times New Roman" w:eastAsia="맑은 고딕"/>
          <w:b w:val="0"/>
          <w:i/>
          <w:sz w:val="22"/>
        </w:rPr>
        <w:t>수식 4-1: w(x) = [P(s = s_x) × P(y = y_x)] / P(s = s_x, y = y_x)</w:t>
      </w:r>
    </w:p>
    <w:p>
      <w:pPr>
        <w:spacing w:line="480" w:lineRule="auto" w:before="0" w:after="120"/>
        <w:ind w:firstLine="283"/>
        <w:jc w:val="left"/>
      </w:pPr>
      <w:r>
        <w:rPr>
          <w:rFonts w:ascii="Times New Roman" w:hAnsi="Times New Roman" w:eastAsia="맑은 고딕"/>
          <w:b w:val="0"/>
          <w:sz w:val="22"/>
        </w:rPr>
        <w:t>여기서 s 는 보호 속성, y 는 결과 변수, s_x 와 y_x 는 인스턴스 x 의 보호 속성과 결과 라벨이다. 이 가중치는 통계적 독립성 의 관점에서 보호 속성과 결과 변수가 독립이었을 경우의 기대값과 실제 관측치의 비율을 계산한 것이다. 학습 알고리즘은 이 가중치를 손실 함수의 sample weight으로 직접 활용한다.</w:t>
      </w:r>
    </w:p>
    <w:p>
      <w:pPr>
        <w:spacing w:line="480" w:lineRule="auto" w:before="0" w:after="120"/>
        <w:ind w:firstLine="283"/>
        <w:jc w:val="left"/>
      </w:pPr>
      <w:r>
        <w:rPr>
          <w:rFonts w:ascii="Times New Roman" w:hAnsi="Times New Roman" w:eastAsia="맑은 고딕"/>
          <w:b w:val="0"/>
          <w:sz w:val="22"/>
        </w:rPr>
        <w:t>본 연구는 이를 두 보호 속성(GENDER, AGE)에 대해 두 데이터셋(baseline, aux)에 적용하여 총 4가지 조합 모두에서의 효과를 정량 평가한다. 평가 결과는 6장에서 상세히 보고한다.</w:t>
      </w:r>
    </w:p>
    <w:p>
      <w:pPr>
        <w:spacing w:line="480" w:lineRule="auto" w:before="0" w:after="120"/>
        <w:ind w:firstLine="283"/>
        <w:jc w:val="left"/>
      </w:pPr>
      <w:r>
        <w:rPr>
          <w:rFonts w:ascii="Times New Roman" w:hAnsi="Times New Roman" w:eastAsia="맑은 고딕"/>
          <w:b w:val="0"/>
          <w:sz w:val="22"/>
        </w:rPr>
        <w:t>#### (b) Fairlearn ExpGrad — 도중 처리</w:t>
      </w:r>
    </w:p>
    <w:p>
      <w:pPr>
        <w:spacing w:line="480" w:lineRule="auto" w:before="0" w:after="120"/>
        <w:ind w:firstLine="283"/>
        <w:jc w:val="left"/>
      </w:pPr>
      <w:r>
        <w:rPr>
          <w:rFonts w:ascii="Times New Roman" w:hAnsi="Times New Roman" w:eastAsia="맑은 고딕"/>
          <w:b w:val="0"/>
          <w:sz w:val="22"/>
        </w:rPr>
        <w:t>비교 baseline으로 Microsoft Fairlearn의 Exponentiated Gradient(ExpGrad) 알고리즘 [22]을 적용한다. 이는 라그랑주 형태의 공정성 제약(Demographic Parity 또는 Equal Opportunity)을 학습 알고리즘에 직접 통합하는 도중 처리 기법으로, 보호 속성 그룹 간의 결과 분포 편차를 명시적으로 최소화한다.</w:t>
      </w:r>
    </w:p>
    <w:p>
      <w:pPr>
        <w:spacing w:line="480" w:lineRule="auto" w:before="0" w:after="120"/>
        <w:ind w:firstLine="283"/>
        <w:jc w:val="left"/>
      </w:pPr>
      <w:r>
        <w:rPr>
          <w:rFonts w:ascii="Times New Roman" w:hAnsi="Times New Roman" w:eastAsia="맑은 고딕"/>
          <w:b w:val="0"/>
          <w:sz w:val="22"/>
        </w:rPr>
        <w:t>본 연구는 두 가지 제약 형태(DP, EO)를 모두 적용하여 비교한다. 사전 결과로는 ExpGrad+DP는 AUROC 손실이 큰 반면 4/5 규칙은 통과하지 못하는 경우가 있고, ExpGrad+EO는 4/5 규칙(이는 DP 기반)을 직접 보장하지 않는 본질적 한계가 관찰되었다. 자세한 비교는 6장에서 보고한다.</w:t>
      </w:r>
    </w:p>
    <w:p>
      <w:pPr>
        <w:spacing w:line="480" w:lineRule="auto" w:before="0" w:after="120"/>
        <w:ind w:firstLine="283"/>
        <w:jc w:val="left"/>
      </w:pPr>
      <w:r>
        <w:rPr>
          <w:rFonts w:ascii="Times New Roman" w:hAnsi="Times New Roman" w:eastAsia="맑은 고딕"/>
          <w:b w:val="0"/>
          <w:sz w:val="22"/>
        </w:rPr>
        <w:t>이상의 방법론을 바탕으로 다음 제5장에서는 본 연구의 평가 프레임워크를, 제6장에서는 모든 실험 결과를 통합 보고한다.</w:t>
      </w:r>
    </w:p>
    <w:p>
      <w:pPr>
        <w:spacing w:line="480" w:lineRule="auto" w:before="0" w:after="120"/>
        <w:ind w:firstLine="283"/>
        <w:jc w:val="left"/>
      </w:pPr>
      <w:r>
        <w:rPr>
          <w:rFonts w:ascii="Times New Roman" w:hAnsi="Times New Roman" w:eastAsia="맑은 고딕"/>
          <w:b w:val="0"/>
          <w:sz w:val="22"/>
        </w:rPr>
        <w:t>본 장은 본 연구의 4-tier 평가 체계를 정의하고, 각 평가 도구의 측정 원리·구현·해석 방법을 상세히 기술한다. 4-tier 체계의 구성은 (1) 룰 기반 표면적 측정, (2) NLI 기반 의미적 측정, (3) LLM 기반 다차원 측정, (4) 페르소나 기반 이해관계자 측정으로 정의된다. 또한 모델 성능 지표와 공정성 지표도 함께 정의한다.</w:t>
      </w:r>
    </w:p>
    <w:p>
      <w:pPr>
        <w:pStyle w:val="Heading3"/>
        <w:spacing w:line="480" w:lineRule="auto" w:before="240" w:after="120"/>
        <w:jc w:val="left"/>
      </w:pPr>
      <w:r>
        <w:rPr>
          <w:rFonts w:ascii="Times New Roman" w:hAnsi="Times New Roman" w:eastAsia="맑은 고딕"/>
          <w:b/>
          <w:color w:val="000000"/>
          <w:sz w:val="22"/>
        </w:rPr>
        <w:t>3.3.1 모델 성능 지표</w:t>
      </w:r>
    </w:p>
    <w:p>
      <w:pPr>
        <w:spacing w:line="480" w:lineRule="auto" w:before="0" w:after="120"/>
        <w:ind w:firstLine="283"/>
        <w:jc w:val="left"/>
      </w:pPr>
      <w:r>
        <w:rPr>
          <w:rFonts w:ascii="Times New Roman" w:hAnsi="Times New Roman" w:eastAsia="맑은 고딕"/>
          <w:b w:val="0"/>
          <w:sz w:val="22"/>
        </w:rPr>
        <w:t>본 연구의 예측 모델 평가는 신용평가 도메인의 표준 지표 6개로 수행된다.</w:t>
      </w:r>
    </w:p>
    <w:p>
      <w:pPr>
        <w:spacing w:line="480" w:lineRule="auto" w:before="0" w:after="120"/>
        <w:ind w:firstLine="283"/>
        <w:jc w:val="left"/>
      </w:pPr>
      <w:r>
        <w:rPr>
          <w:rFonts w:ascii="Times New Roman" w:hAnsi="Times New Roman" w:eastAsia="맑은 고딕"/>
          <w:b w:val="0"/>
          <w:sz w:val="22"/>
        </w:rPr>
        <w:t>• AUROC (Area Under the ROC Curve): 임계값 무관한 모델 분류 능력. 0.5는 무작위, 1.0은 완벽 분류를 의미한다.</w:t>
      </w:r>
    </w:p>
    <w:p>
      <w:pPr>
        <w:spacing w:line="480" w:lineRule="auto" w:before="0" w:after="120"/>
        <w:ind w:firstLine="283"/>
        <w:jc w:val="left"/>
      </w:pPr>
      <w:r>
        <w:rPr>
          <w:rFonts w:ascii="Times New Roman" w:hAnsi="Times New Roman" w:eastAsia="맑은 고딕"/>
          <w:b w:val="0"/>
          <w:sz w:val="22"/>
        </w:rPr>
        <w:t>• AUPRC (Area Under the Precision-Recall Curve): 클래스 불균형 환경에서 양성 클래스의 검출 능력. AUROC 대비 부도와 같은 소수 클래스의 분류 품질을 더 민감하게 반영한다.</w:t>
      </w:r>
    </w:p>
    <w:p>
      <w:pPr>
        <w:spacing w:line="480" w:lineRule="auto" w:before="0" w:after="120"/>
        <w:ind w:firstLine="283"/>
        <w:jc w:val="left"/>
      </w:pPr>
      <w:r>
        <w:rPr>
          <w:rFonts w:ascii="Times New Roman" w:hAnsi="Times New Roman" w:eastAsia="맑은 고딕"/>
          <w:b w:val="0"/>
          <w:sz w:val="22"/>
        </w:rPr>
        <w:t>• KS (Kolmogorov-Smirnov 통계량): KS = max_t |TPR(t) − FPR(t)| 로 정의되며, 신용평가 도메인의 전통 표준 지표이다.</w:t>
      </w:r>
    </w:p>
    <w:p>
      <w:pPr>
        <w:spacing w:line="480" w:lineRule="auto" w:before="0" w:after="120"/>
        <w:ind w:firstLine="283"/>
        <w:jc w:val="left"/>
      </w:pPr>
      <w:r>
        <w:rPr>
          <w:rFonts w:ascii="Times New Roman" w:hAnsi="Times New Roman" w:eastAsia="맑은 고딕"/>
          <w:b w:val="0"/>
          <w:sz w:val="22"/>
        </w:rPr>
        <w:t>• F1, Precision, Recall: 분류 임계값 적용 후의 표준 분류 지표.</w:t>
      </w:r>
    </w:p>
    <w:p>
      <w:pPr>
        <w:spacing w:line="480" w:lineRule="auto" w:before="0" w:after="120"/>
        <w:ind w:firstLine="283"/>
        <w:jc w:val="left"/>
      </w:pPr>
      <w:r>
        <w:rPr>
          <w:rFonts w:ascii="Times New Roman" w:hAnsi="Times New Roman" w:eastAsia="맑은 고딕"/>
          <w:b w:val="0"/>
          <w:sz w:val="22"/>
        </w:rPr>
        <w:t>본 연구는 검증 셋에서 Youden's J 통계량(J = TPR - FPR)을 최대화하는 임계값을 결정한 후, 동일 임계값을 테스트 셋에 적용하여 모든 지표를 산출한다. 5-fold CV를 통해 매 fold의 mean ± std를 보고하며, fold별 지표 변동성을 함께 제공한다.</w:t>
      </w:r>
    </w:p>
    <w:p>
      <w:pPr>
        <w:pStyle w:val="Heading3"/>
        <w:spacing w:line="480" w:lineRule="auto" w:before="240" w:after="120"/>
        <w:jc w:val="left"/>
      </w:pPr>
      <w:r>
        <w:rPr>
          <w:rFonts w:ascii="Times New Roman" w:hAnsi="Times New Roman" w:eastAsia="맑은 고딕"/>
          <w:b/>
          <w:color w:val="000000"/>
          <w:sz w:val="22"/>
        </w:rPr>
        <w:t>3.3.2 룰 기반 평가</w:t>
      </w:r>
    </w:p>
    <w:p>
      <w:pPr>
        <w:spacing w:line="480" w:lineRule="auto" w:before="0" w:after="120"/>
        <w:ind w:firstLine="283"/>
        <w:jc w:val="left"/>
      </w:pPr>
      <w:r>
        <w:rPr>
          <w:rFonts w:ascii="Times New Roman" w:hAnsi="Times New Roman" w:eastAsia="맑은 고딕"/>
          <w:b w:val="0"/>
          <w:sz w:val="22"/>
        </w:rPr>
        <w:t>#### (a) Faithfulness Score (충실성 점수)</w:t>
      </w:r>
    </w:p>
    <w:p>
      <w:pPr>
        <w:spacing w:line="480" w:lineRule="auto" w:before="0" w:after="120"/>
        <w:ind w:firstLine="283"/>
        <w:jc w:val="left"/>
      </w:pPr>
      <w:r>
        <w:rPr>
          <w:rFonts w:ascii="Times New Roman" w:hAnsi="Times New Roman" w:eastAsia="맑은 고딕"/>
          <w:b w:val="0"/>
          <w:sz w:val="22"/>
        </w:rPr>
        <w:t>Faithfulness Score는 LLM 출력이 주어진 컨텍스트의 변수·값·SHAP 부호를 정확히 인용하였는지를 토큰 매칭으로 측정한다. 본 연구는 컨텍스트의 각 driver(변수·값·부호 entry)에 대해 다음 4가지 매칭 비율을 산출한다.</w:t>
      </w:r>
    </w:p>
    <w:p>
      <w:pPr>
        <w:spacing w:line="480" w:lineRule="auto" w:before="0" w:after="120"/>
        <w:ind w:firstLine="283"/>
        <w:jc w:val="left"/>
      </w:pPr>
      <w:r>
        <w:rPr>
          <w:rFonts w:ascii="Times New Roman" w:hAnsi="Times New Roman" w:eastAsia="맑은 고딕"/>
          <w:b w:val="0"/>
          <w:sz w:val="22"/>
        </w:rPr>
        <w:t>• feat_match_rate: 컨텍스트의 변수명이 LLM 출력 텍스트에 등장한 비율</w:t>
      </w:r>
    </w:p>
    <w:p>
      <w:pPr>
        <w:spacing w:line="480" w:lineRule="auto" w:before="0" w:after="120"/>
        <w:ind w:firstLine="283"/>
        <w:jc w:val="left"/>
      </w:pPr>
      <w:r>
        <w:rPr>
          <w:rFonts w:ascii="Times New Roman" w:hAnsi="Times New Roman" w:eastAsia="맑은 고딕"/>
          <w:b w:val="0"/>
          <w:sz w:val="22"/>
        </w:rPr>
        <w:t>• val_match_rate: 컨텍스트의 값이 LLM 출력 텍스트에 등장한 비율 (숫자 토큰 우선 매칭)</w:t>
      </w:r>
    </w:p>
    <w:p>
      <w:pPr>
        <w:spacing w:line="480" w:lineRule="auto" w:before="0" w:after="120"/>
        <w:ind w:firstLine="283"/>
        <w:jc w:val="left"/>
      </w:pPr>
      <w:r>
        <w:rPr>
          <w:rFonts w:ascii="Times New Roman" w:hAnsi="Times New Roman" w:eastAsia="맑은 고딕"/>
          <w:b w:val="0"/>
          <w:sz w:val="22"/>
        </w:rPr>
        <w:t>• sign_match_rate: 컨텍스트의 SHAP 부호가 LLM 출력에 정확히 반영된 비율 (부도 가능성을 높이는/낮추는 표현)</w:t>
      </w:r>
    </w:p>
    <w:p>
      <w:pPr>
        <w:spacing w:line="480" w:lineRule="auto" w:before="0" w:after="120"/>
        <w:ind w:firstLine="283"/>
        <w:jc w:val="left"/>
      </w:pPr>
      <w:r>
        <w:rPr>
          <w:rFonts w:ascii="Times New Roman" w:hAnsi="Times New Roman" w:eastAsia="맑은 고딕"/>
          <w:b w:val="0"/>
          <w:sz w:val="22"/>
        </w:rPr>
        <w:t>• full_match_rate: 변수·값·부호 셋 모두가 매칭된 driver의 비율</w:t>
      </w:r>
    </w:p>
    <w:p>
      <w:pPr>
        <w:spacing w:line="480" w:lineRule="auto" w:before="0" w:after="120"/>
        <w:ind w:firstLine="283"/>
        <w:jc w:val="left"/>
      </w:pPr>
      <w:r>
        <w:rPr>
          <w:rFonts w:ascii="Times New Roman" w:hAnsi="Times New Roman" w:eastAsia="맑은 고딕"/>
          <w:b w:val="0"/>
          <w:sz w:val="22"/>
        </w:rPr>
        <w:t>룰 기반 평가의 한계는 표현의 다양성을 충분히 잡지 못한다는 점이다. 예컨대 LLM이 "외부 신용평가 점수 3은 매우 낮은 수준"이라고 표현하면, 이는 의미적으로는 정확하지만 토큰 수준에서는 부분 매칭으로 산출될 수 있다. 이러한 룰 기반의 한계를 보완하기 위해 다음 5.3절의 NLI 기반 평가를 도입한다.</w:t>
      </w:r>
    </w:p>
    <w:p>
      <w:pPr>
        <w:spacing w:line="480" w:lineRule="auto" w:before="0" w:after="120"/>
        <w:ind w:firstLine="283"/>
        <w:jc w:val="left"/>
      </w:pPr>
      <w:r>
        <w:rPr>
          <w:rFonts w:ascii="Times New Roman" w:hAnsi="Times New Roman" w:eastAsia="맑은 고딕"/>
          <w:b w:val="0"/>
          <w:sz w:val="22"/>
        </w:rPr>
        <w:t>#### (b) Hallucination Rate (환각률)</w:t>
      </w:r>
    </w:p>
    <w:p>
      <w:pPr>
        <w:spacing w:line="480" w:lineRule="auto" w:before="0" w:after="120"/>
        <w:ind w:firstLine="283"/>
        <w:jc w:val="left"/>
      </w:pPr>
      <w:r>
        <w:rPr>
          <w:rFonts w:ascii="Times New Roman" w:hAnsi="Times New Roman" w:eastAsia="맑은 고딕"/>
          <w:b w:val="0"/>
          <w:sz w:val="22"/>
        </w:rPr>
        <w:t>Hallucination Rate는 LLM 출력에 등장한 변수 토큰 중 컨텍스트에 명시되지 않은 비율을 측정한다. 본 연구는 두 가지 정의를 함께 보고한다.</w:t>
      </w:r>
    </w:p>
    <w:p>
      <w:pPr>
        <w:spacing w:line="480" w:lineRule="auto" w:before="0" w:after="120"/>
        <w:ind w:firstLine="283"/>
        <w:jc w:val="left"/>
      </w:pPr>
      <w:r>
        <w:rPr>
          <w:rFonts w:ascii="Times New Roman" w:hAnsi="Times New Roman" w:eastAsia="맑은 고딕"/>
          <w:b w:val="0"/>
          <w:sz w:val="22"/>
        </w:rPr>
        <w:t>• strict: 데이터셋의 변수 집합 외부에서 인용된 토큰 비율</w:t>
      </w:r>
    </w:p>
    <w:p>
      <w:pPr>
        <w:spacing w:line="480" w:lineRule="auto" w:before="0" w:after="120"/>
        <w:ind w:firstLine="283"/>
        <w:jc w:val="left"/>
      </w:pPr>
      <w:r>
        <w:rPr>
          <w:rFonts w:ascii="Times New Roman" w:hAnsi="Times New Roman" w:eastAsia="맑은 고딕"/>
          <w:b w:val="0"/>
          <w:sz w:val="22"/>
        </w:rPr>
        <w:t>• broad: 컨텍스트 내부에 없으나 데이터셋 전체에는 있는 토큰 + strict 환각의 합산 비율</w:t>
      </w:r>
    </w:p>
    <w:p>
      <w:pPr>
        <w:spacing w:line="480" w:lineRule="auto" w:before="0" w:after="120"/>
        <w:ind w:firstLine="283"/>
        <w:jc w:val="left"/>
      </w:pPr>
      <w:r>
        <w:rPr>
          <w:rFonts w:ascii="Times New Roman" w:hAnsi="Times New Roman" w:eastAsia="맑은 고딕"/>
          <w:b w:val="0"/>
          <w:sz w:val="22"/>
        </w:rPr>
        <w:t>영문 대문자 토큰(예: EXT_SOURCE_3, AMT_INCOME_TOTAL)을 정규표현식 \b[A-Z][A-Z0-9_]{2,}\b로 추출한 후, 일반 약어(SHAP, REJECT, APPROVE 등)를 제외하고 매칭을 수행한다. UCI German Credit과 같이 변수명이 소문자인 경우 underscore가 포함된 영문 토큰(\b[a-zA-Z][a-zA-Z0-9]*_[a-zA-Z0-9_]+\b)으로 패턴을 확장한다.</w:t>
      </w:r>
    </w:p>
    <w:p>
      <w:pPr>
        <w:spacing w:line="480" w:lineRule="auto" w:before="0" w:after="120"/>
        <w:ind w:firstLine="283"/>
        <w:jc w:val="left"/>
      </w:pPr>
      <w:r>
        <w:rPr>
          <w:rFonts w:ascii="Times New Roman" w:hAnsi="Times New Roman" w:eastAsia="맑은 고딕"/>
          <w:b w:val="0"/>
          <w:sz w:val="22"/>
        </w:rPr>
        <w:t>이 룰은 LLM이 지어낸 변수 또는 컨텍스트에 없는 변수 의 인용을 직접적으로 측정하므로, 환각의 가장 명확한 지표로 활용된다.</w:t>
      </w:r>
    </w:p>
    <w:p>
      <w:pPr>
        <w:pStyle w:val="Heading3"/>
        <w:spacing w:line="480" w:lineRule="auto" w:before="240" w:after="120"/>
        <w:jc w:val="left"/>
      </w:pPr>
      <w:r>
        <w:rPr>
          <w:rFonts w:ascii="Times New Roman" w:hAnsi="Times New Roman" w:eastAsia="맑은 고딕"/>
          <w:b/>
          <w:color w:val="000000"/>
          <w:sz w:val="22"/>
        </w:rPr>
        <w:t>3.3.3 NLI 기반 의미적 충실성 평가</w:t>
      </w:r>
    </w:p>
    <w:p>
      <w:pPr>
        <w:spacing w:line="480" w:lineRule="auto" w:before="0" w:after="120"/>
        <w:ind w:firstLine="283"/>
        <w:jc w:val="left"/>
      </w:pPr>
      <w:r>
        <w:rPr>
          <w:rFonts w:ascii="Times New Roman" w:hAnsi="Times New Roman" w:eastAsia="맑은 고딕"/>
          <w:b w:val="0"/>
          <w:sz w:val="22"/>
        </w:rPr>
        <w:t>#### (a) mDeBERTa 다국어 NLI 모델</w:t>
      </w:r>
    </w:p>
    <w:p>
      <w:pPr>
        <w:spacing w:line="480" w:lineRule="auto" w:before="0" w:after="120"/>
        <w:ind w:firstLine="283"/>
        <w:jc w:val="left"/>
      </w:pPr>
      <w:r>
        <w:rPr>
          <w:rFonts w:ascii="Times New Roman" w:hAnsi="Times New Roman" w:eastAsia="맑은 고딕"/>
          <w:b w:val="0"/>
          <w:sz w:val="22"/>
        </w:rPr>
        <w:t>본 연구는 NLI 평가용 모델로 MoritzLaurer/mDeBERTa-v3-base-xnli-multilingual-nli-2mil7 [24]을 활용한다. 이는 mDeBERTa-v3 기반 다국어 NLI 모델로 2.7M개 다국어 NLI 표본으로 fine-tuning되었으며, 한국어를 포함한 다국어 추론 능력을 보유한다. 본 연구의 자연어 설명은 한국어로 작성되므로 한국어 추론 능력이 필수적이며, 본 모델은 이 요건을 충족한다.</w:t>
      </w:r>
    </w:p>
    <w:p>
      <w:pPr>
        <w:spacing w:line="480" w:lineRule="auto" w:before="0" w:after="120"/>
        <w:ind w:firstLine="283"/>
        <w:jc w:val="left"/>
      </w:pPr>
      <w:r>
        <w:rPr>
          <w:rFonts w:ascii="Times New Roman" w:hAnsi="Times New Roman" w:eastAsia="맑은 고딕"/>
          <w:b w:val="0"/>
          <w:sz w:val="22"/>
        </w:rPr>
        <w:t>원래 한국어 전용 NLI 모델(예: Huffon/klue-roberta-base-nli)도 후보였으나, 최신 PyTorch 2.5와 transformers 5.7 환경에서 보안 이슈(CVE-2025-32434, .bin 파일 차단)로 인해 safetensors 형식의 mDeBERTa-v3로 최종 결정하였다.</w:t>
      </w:r>
    </w:p>
    <w:p>
      <w:pPr>
        <w:spacing w:line="480" w:lineRule="auto" w:before="0" w:after="120"/>
        <w:ind w:firstLine="283"/>
        <w:jc w:val="left"/>
      </w:pPr>
      <w:r>
        <w:rPr>
          <w:rFonts w:ascii="Times New Roman" w:hAnsi="Times New Roman" w:eastAsia="맑은 고딕"/>
          <w:b w:val="0"/>
          <w:sz w:val="22"/>
        </w:rPr>
        <w:t>#### (b) 컨텍스트 → premise 자연어 변환</w:t>
      </w:r>
    </w:p>
    <w:p>
      <w:pPr>
        <w:spacing w:line="480" w:lineRule="auto" w:before="0" w:after="120"/>
        <w:ind w:firstLine="283"/>
        <w:jc w:val="left"/>
      </w:pPr>
      <w:r>
        <w:rPr>
          <w:rFonts w:ascii="Times New Roman" w:hAnsi="Times New Roman" w:eastAsia="맑은 고딕"/>
          <w:b w:val="0"/>
          <w:sz w:val="22"/>
        </w:rPr>
        <w:t>NLI 평가는 (premise, hypothesis) 쌍에 대해 함의(entailment)/중립(neutral)/모순(contradiction) 확률을 산출한다. 본 연구는 fusion 컨텍스트의 각 driver를 다음과 같은 자연어 문장으로 변환하여 premise를 구성한다.</w:t>
      </w:r>
    </w:p>
    <w:p>
      <w:pPr>
        <w:spacing w:line="480" w:lineRule="auto" w:before="0" w:after="120"/>
        <w:ind w:firstLine="283"/>
        <w:jc w:val="left"/>
      </w:pPr>
      <w:r>
        <w:rPr>
          <w:rFonts w:ascii="Times New Roman" w:hAnsi="Times New Roman" w:eastAsia="맑은 고딕"/>
          <w:b w:val="0"/>
          <w:sz w:val="22"/>
        </w:rPr>
        <w:t>• agreed 그룹: "두 모델이 동의: &lt;변수&gt;이(가) &lt;값&gt;로, 부도 가능성을 높이는/낮추는 요인이다."</w:t>
      </w:r>
    </w:p>
    <w:p>
      <w:pPr>
        <w:spacing w:line="480" w:lineRule="auto" w:before="0" w:after="120"/>
        <w:ind w:firstLine="283"/>
        <w:jc w:val="left"/>
      </w:pPr>
      <w:r>
        <w:rPr>
          <w:rFonts w:ascii="Times New Roman" w:hAnsi="Times New Roman" w:eastAsia="맑은 고딕"/>
          <w:b w:val="0"/>
          <w:sz w:val="22"/>
        </w:rPr>
        <w:t>• shap_only 그룹: "SHAP 분석: &lt;변수&gt;이(가) &lt;값&gt;로, 부도 가능성을 높이는/낮추는 요인이다."</w:t>
      </w:r>
    </w:p>
    <w:p>
      <w:pPr>
        <w:spacing w:line="480" w:lineRule="auto" w:before="0" w:after="120"/>
        <w:ind w:firstLine="283"/>
        <w:jc w:val="left"/>
      </w:pPr>
      <w:r>
        <w:rPr>
          <w:rFonts w:ascii="Times New Roman" w:hAnsi="Times New Roman" w:eastAsia="맑은 고딕"/>
          <w:b w:val="0"/>
          <w:sz w:val="22"/>
        </w:rPr>
        <w:t>• attention_only 그룹: "TabNet 어텐션: &lt;변수&gt;이(가) &lt;값&gt;로, 결정에 영향을 준 변수이다."</w:t>
      </w:r>
    </w:p>
    <w:p>
      <w:pPr>
        <w:spacing w:line="480" w:lineRule="auto" w:before="0" w:after="120"/>
        <w:ind w:firstLine="283"/>
        <w:jc w:val="left"/>
      </w:pPr>
      <w:r>
        <w:rPr>
          <w:rFonts w:ascii="Times New Roman" w:hAnsi="Times New Roman" w:eastAsia="맑은 고딕"/>
          <w:b w:val="0"/>
          <w:sz w:val="22"/>
        </w:rPr>
        <w:t>전체 premise는 결정 요약 문장 과 위 driver 문장들을 연결한 단락으로 구성되며, 길이가 1,500자를 초과하면 잘라서 NLI 모델의 입력 한계 이내로 조정한다. SHAP-only 컨텍스트와 generic_rag 컨텍스트도 동일한 변환 규칙으로 premise를 구성하며, 4-mode 평가에서 일관된 측정 기준을 유지한다.</w:t>
      </w:r>
    </w:p>
    <w:p>
      <w:pPr>
        <w:spacing w:line="480" w:lineRule="auto" w:before="0" w:after="120"/>
        <w:ind w:firstLine="283"/>
        <w:jc w:val="left"/>
      </w:pPr>
      <w:r>
        <w:rPr>
          <w:rFonts w:ascii="Times New Roman" w:hAnsi="Times New Roman" w:eastAsia="맑은 고딕"/>
          <w:b w:val="0"/>
          <w:sz w:val="22"/>
        </w:rPr>
        <w:t>#### (c) 평가 지표</w:t>
      </w:r>
    </w:p>
    <w:p>
      <w:pPr>
        <w:spacing w:line="480" w:lineRule="auto" w:before="0" w:after="120"/>
        <w:ind w:firstLine="283"/>
        <w:jc w:val="left"/>
      </w:pPr>
      <w:r>
        <w:rPr>
          <w:rFonts w:ascii="Times New Roman" w:hAnsi="Times New Roman" w:eastAsia="맑은 고딕"/>
          <w:b w:val="0"/>
          <w:sz w:val="22"/>
        </w:rPr>
        <w:t>LLM 출력 텍스트를 문장 단위로 분리한 후(섹션 헤더, [개선 권고], [면책 고지] 섹션은 제외), 각 문장을 hypothesis로 하여 premise와의 NLI 확률을 산출한다. 인스턴스 수준의 지표는 다음 4가지이다.</w:t>
      </w:r>
    </w:p>
    <w:p>
      <w:pPr>
        <w:spacing w:line="480" w:lineRule="auto" w:before="0" w:after="120"/>
        <w:ind w:firstLine="283"/>
        <w:jc w:val="left"/>
      </w:pPr>
      <w:r>
        <w:rPr>
          <w:rFonts w:ascii="Times New Roman" w:hAnsi="Times New Roman" w:eastAsia="맑은 고딕"/>
          <w:b w:val="0"/>
          <w:sz w:val="22"/>
        </w:rPr>
        <w:t>• entailment_rate: 문장별 함의 확률의 평균</w:t>
      </w:r>
    </w:p>
    <w:p>
      <w:pPr>
        <w:spacing w:line="480" w:lineRule="auto" w:before="0" w:after="120"/>
        <w:ind w:firstLine="283"/>
        <w:jc w:val="left"/>
      </w:pPr>
      <w:r>
        <w:rPr>
          <w:rFonts w:ascii="Times New Roman" w:hAnsi="Times New Roman" w:eastAsia="맑은 고딕"/>
          <w:b w:val="0"/>
          <w:sz w:val="22"/>
        </w:rPr>
        <w:t>• contradiction_rate: 모순 확률의 평균</w:t>
      </w:r>
    </w:p>
    <w:p>
      <w:pPr>
        <w:spacing w:line="480" w:lineRule="auto" w:before="0" w:after="120"/>
        <w:ind w:firstLine="283"/>
        <w:jc w:val="left"/>
      </w:pPr>
      <w:r>
        <w:rPr>
          <w:rFonts w:ascii="Times New Roman" w:hAnsi="Times New Roman" w:eastAsia="맑은 고딕"/>
          <w:b w:val="0"/>
          <w:sz w:val="22"/>
        </w:rPr>
        <w:t>• min_entailment: 최악 문장의 함의 확률 (worst-case)</w:t>
      </w:r>
    </w:p>
    <w:p>
      <w:pPr>
        <w:spacing w:line="480" w:lineRule="auto" w:before="0" w:after="120"/>
        <w:ind w:firstLine="283"/>
        <w:jc w:val="left"/>
      </w:pPr>
      <w:r>
        <w:rPr>
          <w:rFonts w:ascii="Times New Roman" w:hAnsi="Times New Roman" w:eastAsia="맑은 고딕"/>
          <w:b w:val="0"/>
          <w:sz w:val="22"/>
        </w:rPr>
        <w:t>• n_strong_entailment: 함의 확률 &gt; 0.5인 문장의 개수</w:t>
      </w:r>
    </w:p>
    <w:p>
      <w:pPr>
        <w:spacing w:line="480" w:lineRule="auto" w:before="0" w:after="120"/>
        <w:ind w:firstLine="283"/>
        <w:jc w:val="left"/>
      </w:pPr>
      <w:r>
        <w:rPr>
          <w:rFonts w:ascii="Times New Roman" w:hAnsi="Times New Roman" w:eastAsia="맑은 고딕"/>
          <w:b w:val="0"/>
          <w:sz w:val="22"/>
        </w:rPr>
        <w:t>본 연구의 핵심 지표는 entailment_rate로, 이는 LLM 출력의 의미적 충실성 을 측정하는 단일 수치이다. contradiction_rate는 LLM이 컨텍스트와 모순 되는 진술을 생성한 정도로, 0에 가까울수록 좋다.</w:t>
      </w:r>
    </w:p>
    <w:p>
      <w:pPr>
        <w:pStyle w:val="Heading3"/>
        <w:spacing w:line="480" w:lineRule="auto" w:before="240" w:after="120"/>
        <w:jc w:val="left"/>
      </w:pPr>
      <w:r>
        <w:rPr>
          <w:rFonts w:ascii="Times New Roman" w:hAnsi="Times New Roman" w:eastAsia="맑은 고딕"/>
          <w:b/>
          <w:color w:val="000000"/>
          <w:sz w:val="22"/>
        </w:rPr>
        <w:t>3.3.4 G-Eval (LLM-as-a-Judge)</w:t>
      </w:r>
    </w:p>
    <w:p>
      <w:pPr>
        <w:spacing w:line="480" w:lineRule="auto" w:before="0" w:after="120"/>
        <w:ind w:firstLine="283"/>
        <w:jc w:val="left"/>
      </w:pPr>
      <w:r>
        <w:rPr>
          <w:rFonts w:ascii="Times New Roman" w:hAnsi="Times New Roman" w:eastAsia="맑은 고딕"/>
          <w:b w:val="0"/>
          <w:sz w:val="22"/>
        </w:rPr>
        <w:t>#### (a) 4차원 척도</w:t>
      </w:r>
    </w:p>
    <w:p>
      <w:pPr>
        <w:spacing w:line="480" w:lineRule="auto" w:before="0" w:after="120"/>
        <w:ind w:firstLine="283"/>
        <w:jc w:val="left"/>
      </w:pPr>
      <w:r>
        <w:rPr>
          <w:rFonts w:ascii="Times New Roman" w:hAnsi="Times New Roman" w:eastAsia="맑은 고딕"/>
          <w:b w:val="0"/>
          <w:sz w:val="22"/>
        </w:rPr>
        <w:t>G-Eval [19]은 LLM이 평가자(judge) 역할을 수행하여 다른 LLM의 출력을 다차원 척도로 점수화하는 프레임워크이다. 본 연구는 신용평가 도메인에 맞춰 4가지 척도를 1~5점 정수 척도로 정의한다.</w:t>
      </w:r>
    </w:p>
    <w:p>
      <w:pPr>
        <w:spacing w:line="480" w:lineRule="auto" w:before="0" w:after="120"/>
        <w:ind w:firstLine="283"/>
        <w:jc w:val="left"/>
      </w:pPr>
      <w:r>
        <w:rPr>
          <w:rFonts w:ascii="Times New Roman" w:hAnsi="Times New Roman" w:eastAsia="맑은 고딕"/>
          <w:b w:val="0"/>
          <w:sz w:val="22"/>
        </w:rPr>
        <w:t>• factual_accuracy: 설명의 모든 변수명·수치·SHAP 부호가 컨텍스트와 일치하는 정도. (1=다수 불일치, 5=완벽 일치)</w:t>
      </w:r>
    </w:p>
    <w:p>
      <w:pPr>
        <w:spacing w:line="480" w:lineRule="auto" w:before="0" w:after="120"/>
        <w:ind w:firstLine="283"/>
        <w:jc w:val="left"/>
      </w:pPr>
      <w:r>
        <w:rPr>
          <w:rFonts w:ascii="Times New Roman" w:hAnsi="Times New Roman" w:eastAsia="맑은 고딕"/>
          <w:b w:val="0"/>
          <w:sz w:val="22"/>
        </w:rPr>
        <w:t>• completeness: 컨텍스트의 top driver를 충분히 다루며 결정 사유를 명확히 전달하는 정도. (1=핵심 누락, 5=완결)</w:t>
      </w:r>
    </w:p>
    <w:p>
      <w:pPr>
        <w:spacing w:line="480" w:lineRule="auto" w:before="0" w:after="120"/>
        <w:ind w:firstLine="283"/>
        <w:jc w:val="left"/>
      </w:pPr>
      <w:r>
        <w:rPr>
          <w:rFonts w:ascii="Times New Roman" w:hAnsi="Times New Roman" w:eastAsia="맑은 고딕"/>
          <w:b w:val="0"/>
          <w:sz w:val="22"/>
        </w:rPr>
        <w:t>• sensitive_leak: 성별·연령·인종·종교 등 민감 변수를 직접 언급하지 않은 정도. (1=직접 언급, 5=완벽 마스킹)</w:t>
      </w:r>
    </w:p>
    <w:p>
      <w:pPr>
        <w:spacing w:line="480" w:lineRule="auto" w:before="0" w:after="120"/>
        <w:ind w:firstLine="283"/>
        <w:jc w:val="left"/>
      </w:pPr>
      <w:r>
        <w:rPr>
          <w:rFonts w:ascii="Times New Roman" w:hAnsi="Times New Roman" w:eastAsia="맑은 고딕"/>
          <w:b w:val="0"/>
          <w:sz w:val="22"/>
        </w:rPr>
        <w:t>• style: 차주에게 전달하기 적절한 친절·중립적 톤을 갖춘 정도. (1=부적절, 5=매우 적절)</w:t>
      </w:r>
    </w:p>
    <w:p>
      <w:pPr>
        <w:spacing w:line="480" w:lineRule="auto" w:before="0" w:after="120"/>
        <w:ind w:firstLine="283"/>
        <w:jc w:val="left"/>
      </w:pPr>
      <w:r>
        <w:rPr>
          <w:rFonts w:ascii="Times New Roman" w:hAnsi="Times New Roman" w:eastAsia="맑은 고딕"/>
          <w:b w:val="0"/>
          <w:sz w:val="22"/>
        </w:rPr>
        <w:t>평가자(LLM judge)는 평가 프롬프트(rubric)를 통해 위 4차원에 대해 각각 1~5점을 출력하며, 사유(rationale)를 한 줄로 함께 출력한다. 출력 형식은 JSON으로 강제되며, JSON 파싱 실패 시 4회까지 재시도한다.</w:t>
      </w:r>
    </w:p>
    <w:p>
      <w:pPr>
        <w:spacing w:line="480" w:lineRule="auto" w:before="0" w:after="120"/>
        <w:ind w:firstLine="283"/>
        <w:jc w:val="left"/>
      </w:pPr>
      <w:r>
        <w:rPr>
          <w:rFonts w:ascii="Times New Roman" w:hAnsi="Times New Roman" w:eastAsia="맑은 고딕"/>
          <w:b w:val="0"/>
          <w:sz w:val="22"/>
        </w:rPr>
        <w:t>#### (b) Cross-Judge 평가</w:t>
      </w:r>
    </w:p>
    <w:p>
      <w:pPr>
        <w:spacing w:line="480" w:lineRule="auto" w:before="0" w:after="120"/>
        <w:ind w:firstLine="283"/>
        <w:jc w:val="left"/>
      </w:pPr>
      <w:r>
        <w:rPr>
          <w:rFonts w:ascii="Times New Roman" w:hAnsi="Times New Roman" w:eastAsia="맑은 고딕"/>
          <w:b w:val="0"/>
          <w:sz w:val="22"/>
        </w:rPr>
        <w:t>LLM-as-a-Judge 패러다임의 self-bias 문제를 완화하기 위해 본 연구는 교차 평가(cross-judge) 를 도입한다. 즉 Claude judge가 Gemini target의 출력을 평가하고, Gemini judge가 Claude target의 출력을 평가한다. 두 judge의 점수가 일관되게 나오는 차원은 신뢰할 수 있는 결과로, 차이가 큰 차원은 self-bias 또는 모델별 평가 기준의 차이를 시사한다.</w:t>
      </w:r>
    </w:p>
    <w:p>
      <w:pPr>
        <w:spacing w:line="480" w:lineRule="auto" w:before="0" w:after="120"/>
        <w:ind w:firstLine="283"/>
        <w:jc w:val="left"/>
      </w:pPr>
      <w:r>
        <w:rPr>
          <w:rFonts w:ascii="Times New Roman" w:hAnsi="Times New Roman" w:eastAsia="맑은 고딕"/>
          <w:b w:val="0"/>
          <w:sz w:val="22"/>
        </w:rPr>
        <w:t>본 연구의 Step 3-C-2-f 단계에서 cross-judge를 적용한 결과, completeness 차원에서는 두 judge가 일관된 양수 차이를 보였으나, factual_accuracy 차원에서는 Gemini target에 대해 Claude judge -0.13 vs Gemini judge +0.47의 큰 차이(0.60)가 관찰되었다. 이는 단일 judge 평가의 한계를 직접적으로 입증하며, cross-judge의 가치를 정량적으로 보여준다.</w:t>
      </w:r>
    </w:p>
    <w:p>
      <w:pPr>
        <w:pStyle w:val="Heading3"/>
        <w:spacing w:line="480" w:lineRule="auto" w:before="240" w:after="120"/>
        <w:jc w:val="left"/>
      </w:pPr>
      <w:r>
        <w:rPr>
          <w:rFonts w:ascii="Times New Roman" w:hAnsi="Times New Roman" w:eastAsia="맑은 고딕"/>
          <w:b/>
          <w:color w:val="000000"/>
          <w:sz w:val="22"/>
        </w:rPr>
        <w:t>3.3.5 Pilot Human-Proxy 평가</w:t>
      </w:r>
    </w:p>
    <w:p>
      <w:pPr>
        <w:spacing w:line="480" w:lineRule="auto" w:before="0" w:after="120"/>
        <w:ind w:firstLine="283"/>
        <w:jc w:val="left"/>
      </w:pPr>
      <w:r>
        <w:rPr>
          <w:rFonts w:ascii="Times New Roman" w:hAnsi="Times New Roman" w:eastAsia="맑은 고딕"/>
          <w:b w:val="0"/>
          <w:sz w:val="22"/>
        </w:rPr>
        <w:t>#### (a) 동기와 한계</w:t>
      </w:r>
    </w:p>
    <w:p>
      <w:pPr>
        <w:spacing w:line="480" w:lineRule="auto" w:before="0" w:after="120"/>
        <w:ind w:firstLine="283"/>
        <w:jc w:val="left"/>
      </w:pPr>
      <w:r>
        <w:rPr>
          <w:rFonts w:ascii="Times New Roman" w:hAnsi="Times New Roman" w:eastAsia="맑은 고딕"/>
          <w:b w:val="0"/>
          <w:sz w:val="22"/>
        </w:rPr>
        <w:t>자연어 설명은 동일한 내용이라도 신용 전문가·일반 고객·규제기관 등 이해관계자에 따라 적합성이 달라진다. 정식 인간 평가(human evaluation)는 IRB(Institutional Review Board) 승인이 필요하며, 다수의 평가자 모집과 평가 시간 확보 측면에서 본 연구의 시간 범위 내 적용이 어려웠다. 따라서 본 연구는 LLM 페르소나 대리 평가(LLM-proxy persona evaluation) 를 pilot 으로 도입한다.</w:t>
      </w:r>
    </w:p>
    <w:p>
      <w:pPr>
        <w:spacing w:line="480" w:lineRule="auto" w:before="0" w:after="120"/>
        <w:ind w:firstLine="283"/>
        <w:jc w:val="left"/>
      </w:pPr>
      <w:r>
        <w:rPr>
          <w:rFonts w:ascii="Times New Roman" w:hAnsi="Times New Roman" w:eastAsia="맑은 고딕"/>
          <w:b w:val="0"/>
          <w:sz w:val="22"/>
        </w:rPr>
        <w:t>이는 정식 IRB 인간 평가의 대체가 아니라 예비 신호 수집 의 위상을 가지며, 본 연구의 한계 항목으로 명시적으로 보고된다. 정식 IRB 평가는 향후 연구 방향으로 제시한다.</w:t>
      </w:r>
    </w:p>
    <w:p>
      <w:pPr>
        <w:spacing w:line="480" w:lineRule="auto" w:before="0" w:after="120"/>
        <w:ind w:firstLine="283"/>
        <w:jc w:val="left"/>
      </w:pPr>
      <w:r>
        <w:rPr>
          <w:rFonts w:ascii="Times New Roman" w:hAnsi="Times New Roman" w:eastAsia="맑은 고딕"/>
          <w:b w:val="0"/>
          <w:sz w:val="22"/>
        </w:rPr>
        <w:t>#### (b) 3 Personas와 3 Metrics</w:t>
      </w:r>
    </w:p>
    <w:p>
      <w:pPr>
        <w:spacing w:line="480" w:lineRule="auto" w:before="0" w:after="120"/>
        <w:ind w:firstLine="283"/>
        <w:jc w:val="left"/>
      </w:pPr>
      <w:r>
        <w:rPr>
          <w:rFonts w:ascii="Times New Roman" w:hAnsi="Times New Roman" w:eastAsia="맑은 고딕"/>
          <w:b w:val="0"/>
          <w:sz w:val="22"/>
        </w:rPr>
        <w:t>본 연구는 3개의 페르소나를 다음과 같이 정의한다.</w:t>
      </w:r>
    </w:p>
    <w:p>
      <w:pPr>
        <w:spacing w:line="480" w:lineRule="auto" w:before="0" w:after="120"/>
        <w:ind w:firstLine="283"/>
        <w:jc w:val="left"/>
      </w:pPr>
      <w:r>
        <w:rPr>
          <w:rFonts w:ascii="Times New Roman" w:hAnsi="Times New Roman" w:eastAsia="맑은 고딕"/>
          <w:b w:val="0"/>
          <w:sz w:val="22"/>
        </w:rPr>
        <w:t>• Credit Expert (신용 전문가): 부도 모델의 정확성과 변수 인용의 fact-grounding을 중시. 통계적 정확성과 도메인 지식 기반 평가를 수행한다.</w:t>
      </w:r>
    </w:p>
    <w:p>
      <w:pPr>
        <w:spacing w:line="480" w:lineRule="auto" w:before="0" w:after="120"/>
        <w:ind w:firstLine="283"/>
        <w:jc w:val="left"/>
      </w:pPr>
      <w:r>
        <w:rPr>
          <w:rFonts w:ascii="Times New Roman" w:hAnsi="Times New Roman" w:eastAsia="맑은 고딕"/>
          <w:b w:val="0"/>
          <w:sz w:val="22"/>
        </w:rPr>
        <w:t>• Customer (고객): 본인의 신용평가 결과를 받아본 일반인 관점. 명료성·이해 가능성·실제 행동 가능성을 중시한다.</w:t>
      </w:r>
    </w:p>
    <w:p>
      <w:pPr>
        <w:spacing w:line="480" w:lineRule="auto" w:before="0" w:after="120"/>
        <w:ind w:firstLine="283"/>
        <w:jc w:val="left"/>
      </w:pPr>
      <w:r>
        <w:rPr>
          <w:rFonts w:ascii="Times New Roman" w:hAnsi="Times New Roman" w:eastAsia="맑은 고딕"/>
          <w:b w:val="0"/>
          <w:sz w:val="22"/>
        </w:rPr>
        <w:t>• Regulator (규제기관): 차별 회피와 규제 준수의 관점. 보호 속성 마스킹·공정성·감사 적합성을 중시한다.</w:t>
      </w:r>
    </w:p>
    <w:p>
      <w:pPr>
        <w:spacing w:line="480" w:lineRule="auto" w:before="0" w:after="120"/>
        <w:ind w:firstLine="283"/>
        <w:jc w:val="left"/>
      </w:pPr>
      <w:r>
        <w:rPr>
          <w:rFonts w:ascii="Times New Roman" w:hAnsi="Times New Roman" w:eastAsia="맑은 고딕"/>
          <w:b w:val="0"/>
          <w:sz w:val="22"/>
        </w:rPr>
        <w:t>각 페르소나는 다음 3가지 척도(1~5점)로 평가한다.</w:t>
      </w:r>
    </w:p>
    <w:p>
      <w:pPr>
        <w:spacing w:line="480" w:lineRule="auto" w:before="0" w:after="120"/>
        <w:ind w:firstLine="283"/>
        <w:jc w:val="left"/>
      </w:pPr>
      <w:r>
        <w:rPr>
          <w:rFonts w:ascii="Times New Roman" w:hAnsi="Times New Roman" w:eastAsia="맑은 고딕"/>
          <w:b w:val="0"/>
          <w:sz w:val="22"/>
        </w:rPr>
        <w:t>• trustworthiness: 평가 결과를 얼마나 신뢰할 수 있다고 느끼는가</w:t>
      </w:r>
    </w:p>
    <w:p>
      <w:pPr>
        <w:spacing w:line="480" w:lineRule="auto" w:before="0" w:after="120"/>
        <w:ind w:firstLine="283"/>
        <w:jc w:val="left"/>
      </w:pPr>
      <w:r>
        <w:rPr>
          <w:rFonts w:ascii="Times New Roman" w:hAnsi="Times New Roman" w:eastAsia="맑은 고딕"/>
          <w:b w:val="0"/>
          <w:sz w:val="22"/>
        </w:rPr>
        <w:t>• clarity: 설명을 얼마나 명료하게 이해할 수 있는가</w:t>
      </w:r>
    </w:p>
    <w:p>
      <w:pPr>
        <w:spacing w:line="480" w:lineRule="auto" w:before="0" w:after="120"/>
        <w:ind w:firstLine="283"/>
        <w:jc w:val="left"/>
      </w:pPr>
      <w:r>
        <w:rPr>
          <w:rFonts w:ascii="Times New Roman" w:hAnsi="Times New Roman" w:eastAsia="맑은 고딕"/>
          <w:b w:val="0"/>
          <w:sz w:val="22"/>
        </w:rPr>
        <w:t>• actionability: 실제로 행동(개선·재신청·검토 등)할 수 있는 정보를 제공하는가</w:t>
      </w:r>
    </w:p>
    <w:p>
      <w:pPr>
        <w:spacing w:line="480" w:lineRule="auto" w:before="0" w:after="120"/>
        <w:ind w:firstLine="283"/>
        <w:jc w:val="left"/>
      </w:pPr>
      <w:r>
        <w:rPr>
          <w:rFonts w:ascii="Times New Roman" w:hAnsi="Times New Roman" w:eastAsia="맑은 고딕"/>
          <w:b w:val="0"/>
          <w:sz w:val="22"/>
        </w:rPr>
        <w:t>총 4 modes × 2 LLM target × 15 instances × 3 personas × 3 metrics = 540 평가 시도가 이루어지며, JSON 파싱 실패와 재시도 후 실제 유효 평가는 약 276건에 도달하였다.</w:t>
      </w:r>
    </w:p>
    <w:p>
      <w:pPr>
        <w:spacing w:line="480" w:lineRule="auto" w:before="0" w:after="120"/>
        <w:ind w:firstLine="283"/>
        <w:jc w:val="left"/>
      </w:pPr>
      <w:r>
        <w:rPr>
          <w:rFonts w:ascii="Times New Roman" w:hAnsi="Times New Roman" w:eastAsia="맑은 고딕"/>
          <w:b w:val="0"/>
          <w:sz w:val="22"/>
        </w:rPr>
        <w:t>페르소나 평가용 LLM judge는 안정성을 우선하여 Anthropic Claude Sonnet 4.5 단일 모델을 활용한다. 이는 cross-judge의 self-bias를 일부 감수하면서, 평가 결과의 일관성을 우선한 절충 결정이다.</w:t>
      </w:r>
    </w:p>
    <w:p>
      <w:pPr>
        <w:pStyle w:val="Heading3"/>
        <w:spacing w:line="480" w:lineRule="auto" w:before="240" w:after="120"/>
        <w:jc w:val="left"/>
      </w:pPr>
      <w:r>
        <w:rPr>
          <w:rFonts w:ascii="Times New Roman" w:hAnsi="Times New Roman" w:eastAsia="맑은 고딕"/>
          <w:b/>
          <w:color w:val="000000"/>
          <w:sz w:val="22"/>
        </w:rPr>
        <w:t>3.3.6 공정성 평가</w:t>
      </w:r>
    </w:p>
    <w:p>
      <w:pPr>
        <w:spacing w:line="480" w:lineRule="auto" w:before="0" w:after="120"/>
        <w:ind w:firstLine="283"/>
        <w:jc w:val="left"/>
      </w:pPr>
      <w:r>
        <w:rPr>
          <w:rFonts w:ascii="Times New Roman" w:hAnsi="Times New Roman" w:eastAsia="맑은 고딕"/>
          <w:b w:val="0"/>
          <w:sz w:val="22"/>
        </w:rPr>
        <w:t>본 연구는 보호 속성에 대한 공정성을 다음 세 가지 지표로 평가한다.</w:t>
      </w:r>
    </w:p>
    <w:p>
      <w:pPr>
        <w:spacing w:line="480" w:lineRule="auto" w:before="0" w:after="120"/>
        <w:ind w:firstLine="283"/>
        <w:jc w:val="left"/>
      </w:pPr>
      <w:r>
        <w:rPr>
          <w:rFonts w:ascii="Times New Roman" w:hAnsi="Times New Roman" w:eastAsia="맑은 고딕"/>
          <w:b w:val="0"/>
          <w:sz w:val="22"/>
        </w:rPr>
        <w:t>#### (a) Demographic Parity (DP) 차이</w:t>
      </w:r>
    </w:p>
    <w:p>
      <w:pPr>
        <w:spacing w:line="480" w:lineRule="auto" w:before="0" w:after="120"/>
        <w:ind w:firstLine="283"/>
        <w:jc w:val="left"/>
      </w:pPr>
      <w:r>
        <w:rPr>
          <w:rFonts w:ascii="Times New Roman" w:hAnsi="Times New Roman" w:eastAsia="맑은 고딕"/>
          <w:b w:val="0"/>
          <w:sz w:val="22"/>
        </w:rPr>
        <w:t>Demographic Parity는 보호 속성 그룹 간 양성 예측률 의 차이로 정의된다.</w:t>
      </w:r>
    </w:p>
    <w:p>
      <w:pPr>
        <w:spacing w:line="360" w:lineRule="auto" w:before="120" w:after="120"/>
        <w:jc w:val="center"/>
      </w:pPr>
      <w:r>
        <w:rPr>
          <w:rFonts w:ascii="Times New Roman" w:hAnsi="Times New Roman" w:eastAsia="맑은 고딕"/>
          <w:b w:val="0"/>
          <w:i/>
          <w:sz w:val="22"/>
        </w:rPr>
        <w:t>수식 5-1: DP_diff = | P(ŷ=1 | s=0) − P(ŷ=1 | s=1) |</w:t>
      </w:r>
    </w:p>
    <w:p>
      <w:pPr>
        <w:spacing w:line="480" w:lineRule="auto" w:before="0" w:after="120"/>
        <w:ind w:firstLine="283"/>
        <w:jc w:val="left"/>
      </w:pPr>
      <w:r>
        <w:rPr>
          <w:rFonts w:ascii="Times New Roman" w:hAnsi="Times New Roman" w:eastAsia="맑은 고딕"/>
          <w:b w:val="0"/>
          <w:sz w:val="22"/>
        </w:rPr>
        <w:t>본 지표는 그룹 간 모델 출력의 분포 차이를 직접 측정하지만, 양성 클래스의 정확도 차이를 반영하지 않는다는 한계가 있다.</w:t>
      </w:r>
    </w:p>
    <w:p>
      <w:pPr>
        <w:spacing w:line="480" w:lineRule="auto" w:before="0" w:after="120"/>
        <w:ind w:firstLine="283"/>
        <w:jc w:val="left"/>
      </w:pPr>
      <w:r>
        <w:rPr>
          <w:rFonts w:ascii="Times New Roman" w:hAnsi="Times New Roman" w:eastAsia="맑은 고딕"/>
          <w:b w:val="0"/>
          <w:sz w:val="22"/>
        </w:rPr>
        <w:t>#### (b) Equal Opportunity (EO) 차이</w:t>
      </w:r>
    </w:p>
    <w:p>
      <w:pPr>
        <w:spacing w:line="480" w:lineRule="auto" w:before="0" w:after="120"/>
        <w:ind w:firstLine="283"/>
        <w:jc w:val="left"/>
      </w:pPr>
      <w:r>
        <w:rPr>
          <w:rFonts w:ascii="Times New Roman" w:hAnsi="Times New Roman" w:eastAsia="맑은 고딕"/>
          <w:b w:val="0"/>
          <w:sz w:val="22"/>
        </w:rPr>
        <w:t>Equal Opportunity는 양성 클래스에 한정한 진양성률(TPR) 의 그룹 간 차이로 정의된다.</w:t>
      </w:r>
    </w:p>
    <w:p>
      <w:pPr>
        <w:spacing w:line="360" w:lineRule="auto" w:before="120" w:after="120"/>
        <w:jc w:val="center"/>
      </w:pPr>
      <w:r>
        <w:rPr>
          <w:rFonts w:ascii="Times New Roman" w:hAnsi="Times New Roman" w:eastAsia="맑은 고딕"/>
          <w:b w:val="0"/>
          <w:i/>
          <w:sz w:val="22"/>
        </w:rPr>
        <w:t>수식 5-2: EO_diff = | TPR(s=0) − TPR(s=1) |</w:t>
      </w:r>
    </w:p>
    <w:p>
      <w:pPr>
        <w:spacing w:line="480" w:lineRule="auto" w:before="0" w:after="120"/>
        <w:ind w:firstLine="283"/>
        <w:jc w:val="left"/>
      </w:pPr>
      <w:r>
        <w:rPr>
          <w:rFonts w:ascii="Times New Roman" w:hAnsi="Times New Roman" w:eastAsia="맑은 고딕"/>
          <w:b w:val="0"/>
          <w:sz w:val="22"/>
        </w:rPr>
        <w:t>이는 부도 차주에게 정확히 부도를 예측하는 능력의 그룹 간 차이를 반영하며, DP 대비 모델 정확도까지 고려한 공정성 지표이다.</w:t>
      </w:r>
    </w:p>
    <w:p>
      <w:pPr>
        <w:spacing w:line="480" w:lineRule="auto" w:before="0" w:after="120"/>
        <w:ind w:firstLine="283"/>
        <w:jc w:val="left"/>
      </w:pPr>
      <w:r>
        <w:rPr>
          <w:rFonts w:ascii="Times New Roman" w:hAnsi="Times New Roman" w:eastAsia="맑은 고딕"/>
          <w:b w:val="0"/>
          <w:sz w:val="22"/>
        </w:rPr>
        <w:t>#### (c) Disparate Impact ratio (DI ratio)</w:t>
      </w:r>
    </w:p>
    <w:p>
      <w:pPr>
        <w:spacing w:line="480" w:lineRule="auto" w:before="0" w:after="120"/>
        <w:ind w:firstLine="283"/>
        <w:jc w:val="left"/>
      </w:pPr>
      <w:r>
        <w:rPr>
          <w:rFonts w:ascii="Times New Roman" w:hAnsi="Times New Roman" w:eastAsia="맑은 고딕"/>
          <w:b w:val="0"/>
          <w:sz w:val="22"/>
        </w:rPr>
        <w:t>Disparate Impact ratio는 EEOC의 4/5 규칙 [20]에 직접 대응하는 지표이다.</w:t>
      </w:r>
    </w:p>
    <w:p>
      <w:pPr>
        <w:spacing w:line="360" w:lineRule="auto" w:before="120" w:after="120"/>
        <w:jc w:val="center"/>
      </w:pPr>
      <w:r>
        <w:rPr>
          <w:rFonts w:ascii="Times New Roman" w:hAnsi="Times New Roman" w:eastAsia="맑은 고딕"/>
          <w:b w:val="0"/>
          <w:i/>
          <w:sz w:val="22"/>
        </w:rPr>
        <w:t>수식 5-3: DI_ratio = min[ P(ŷ=1|s=0), P(ŷ=1|s=1) ] / max[ P(ŷ=1|s=0), P(ŷ=1|s=1) ]</w:t>
      </w:r>
    </w:p>
    <w:p>
      <w:pPr>
        <w:spacing w:line="480" w:lineRule="auto" w:before="0" w:after="120"/>
        <w:ind w:firstLine="283"/>
        <w:jc w:val="left"/>
      </w:pPr>
      <w:r>
        <w:rPr>
          <w:rFonts w:ascii="Times New Roman" w:hAnsi="Times New Roman" w:eastAsia="맑은 고딕"/>
          <w:b w:val="0"/>
          <w:sz w:val="22"/>
        </w:rPr>
        <w:t>DI ratio가 0.8 이상이면 4/5 규칙을 통과 한 것으로 판단하며, 그 미만이면 불리한 영향(adverse impact) 으로 분류된다. 본 연구의 공정성 보정(Reweighing 등)은 모델 성능 손실을 최소화하면서 DI ratio를 0.8 이상으로 만드는 것을 목표로 한다.</w:t>
      </w:r>
    </w:p>
    <w:p>
      <w:pPr>
        <w:pStyle w:val="Heading3"/>
        <w:spacing w:line="480" w:lineRule="auto" w:before="240" w:after="120"/>
        <w:jc w:val="left"/>
      </w:pPr>
      <w:r>
        <w:rPr>
          <w:rFonts w:ascii="Times New Roman" w:hAnsi="Times New Roman" w:eastAsia="맑은 고딕"/>
          <w:b/>
          <w:color w:val="000000"/>
          <w:sz w:val="22"/>
        </w:rPr>
        <w:t>3.3.7 평가 프레임워크 통합</w:t>
      </w:r>
    </w:p>
    <w:p>
      <w:pPr>
        <w:spacing w:line="480" w:lineRule="auto" w:before="0" w:after="120"/>
        <w:ind w:firstLine="283"/>
        <w:jc w:val="left"/>
      </w:pPr>
      <w:r>
        <w:rPr>
          <w:rFonts w:ascii="Times New Roman" w:hAnsi="Times New Roman" w:eastAsia="맑은 고딕"/>
          <w:b w:val="0"/>
          <w:sz w:val="22"/>
        </w:rPr>
        <w:t>표 5-1은 본 연구의 4-tier 평가 프레임워크를 통합 정리한 것이다.</w:t>
      </w:r>
    </w:p>
    <w:p>
      <w:pPr>
        <w:spacing w:line="480" w:lineRule="auto" w:before="0" w:after="120"/>
        <w:ind w:firstLine="283"/>
        <w:jc w:val="left"/>
      </w:pPr>
      <w:r>
        <w:rPr>
          <w:rFonts w:ascii="Times New Roman" w:hAnsi="Times New Roman" w:eastAsia="맑은 고딕"/>
          <w:b w:val="0"/>
          <w:sz w:val="22"/>
        </w:rPr>
        <w:t>표 5-1. 본 연구의 4-tier 평가 프레임워크</w:t>
      </w:r>
    </w:p>
    <w:tbl>
      <w:tblPr>
        <w:tblStyle w:val="LightGrid"/>
        <w:tblW w:type="auto" w:w="0"/>
        <w:tblLook w:firstColumn="1" w:firstRow="1" w:lastColumn="0" w:lastRow="0" w:noHBand="0" w:noVBand="1" w:val="04A0"/>
      </w:tblPr>
      <w:tblGrid>
        <w:gridCol w:w="1520"/>
        <w:gridCol w:w="1520"/>
        <w:gridCol w:w="1520"/>
        <w:gridCol w:w="1520"/>
        <w:gridCol w:w="1520"/>
        <w:gridCol w:w="1520"/>
      </w:tblGrid>
      <w:tr>
        <w:tc>
          <w:tcPr>
            <w:tcW w:type="dxa" w:w="1520"/>
          </w:tcPr>
          <w:p>
            <w:r>
              <w:rPr>
                <w:rFonts w:ascii="Times New Roman" w:hAnsi="Times New Roman" w:eastAsia="맑은 고딕"/>
                <w:b/>
                <w:sz w:val="20"/>
              </w:rPr>
              <w:t>Tier</w:t>
            </w:r>
          </w:p>
        </w:tc>
        <w:tc>
          <w:tcPr>
            <w:tcW w:type="dxa" w:w="1520"/>
          </w:tcPr>
          <w:p>
            <w:r>
              <w:rPr>
                <w:rFonts w:ascii="Times New Roman" w:hAnsi="Times New Roman" w:eastAsia="맑은 고딕"/>
                <w:b/>
                <w:sz w:val="20"/>
              </w:rPr>
              <w:t>도구</w:t>
            </w:r>
          </w:p>
        </w:tc>
        <w:tc>
          <w:tcPr>
            <w:tcW w:type="dxa" w:w="1520"/>
          </w:tcPr>
          <w:p>
            <w:r>
              <w:rPr>
                <w:rFonts w:ascii="Times New Roman" w:hAnsi="Times New Roman" w:eastAsia="맑은 고딕"/>
                <w:b/>
                <w:sz w:val="20"/>
              </w:rPr>
              <w:t>주요 지표</w:t>
            </w:r>
          </w:p>
        </w:tc>
        <w:tc>
          <w:tcPr>
            <w:tcW w:type="dxa" w:w="1520"/>
          </w:tcPr>
          <w:p>
            <w:r>
              <w:rPr>
                <w:rFonts w:ascii="Times New Roman" w:hAnsi="Times New Roman" w:eastAsia="맑은 고딕"/>
                <w:b/>
                <w:sz w:val="20"/>
              </w:rPr>
              <w:t>측정 대상</w:t>
            </w:r>
          </w:p>
        </w:tc>
        <w:tc>
          <w:tcPr>
            <w:tcW w:type="dxa" w:w="1520"/>
          </w:tcPr>
          <w:p>
            <w:r>
              <w:rPr>
                <w:rFonts w:ascii="Times New Roman" w:hAnsi="Times New Roman" w:eastAsia="맑은 고딕"/>
                <w:b/>
                <w:sz w:val="20"/>
              </w:rPr>
              <w:t>강점</w:t>
            </w:r>
          </w:p>
        </w:tc>
        <w:tc>
          <w:tcPr>
            <w:tcW w:type="dxa" w:w="1520"/>
          </w:tcPr>
          <w:p>
            <w:r>
              <w:rPr>
                <w:rFonts w:ascii="Times New Roman" w:hAnsi="Times New Roman" w:eastAsia="맑은 고딕"/>
                <w:b/>
                <w:sz w:val="20"/>
              </w:rPr>
              <w:t>한계</w:t>
            </w:r>
          </w:p>
        </w:tc>
      </w:tr>
      <w:tr>
        <w:tc>
          <w:tcPr>
            <w:tcW w:type="dxa" w:w="1520"/>
          </w:tcPr>
          <w:p>
            <w:r>
              <w:rPr>
                <w:rFonts w:ascii="Times New Roman" w:hAnsi="Times New Roman" w:eastAsia="맑은 고딕"/>
                <w:b w:val="0"/>
                <w:sz w:val="20"/>
              </w:rPr>
              <w:t>1</w:t>
            </w:r>
          </w:p>
        </w:tc>
        <w:tc>
          <w:tcPr>
            <w:tcW w:type="dxa" w:w="1520"/>
          </w:tcPr>
          <w:p>
            <w:r>
              <w:rPr>
                <w:rFonts w:ascii="Times New Roman" w:hAnsi="Times New Roman" w:eastAsia="맑은 고딕"/>
                <w:b w:val="0"/>
                <w:sz w:val="20"/>
              </w:rPr>
              <w:t>룰 기반</w:t>
            </w:r>
          </w:p>
        </w:tc>
        <w:tc>
          <w:tcPr>
            <w:tcW w:type="dxa" w:w="1520"/>
          </w:tcPr>
          <w:p>
            <w:r>
              <w:rPr>
                <w:rFonts w:ascii="Times New Roman" w:hAnsi="Times New Roman" w:eastAsia="맑은 고딕"/>
                <w:b w:val="0"/>
                <w:sz w:val="20"/>
              </w:rPr>
              <w:t>feat/val/sign_match_rate, halluc_rate</w:t>
            </w:r>
          </w:p>
        </w:tc>
        <w:tc>
          <w:tcPr>
            <w:tcW w:type="dxa" w:w="1520"/>
          </w:tcPr>
          <w:p>
            <w:r>
              <w:rPr>
                <w:rFonts w:ascii="Times New Roman" w:hAnsi="Times New Roman" w:eastAsia="맑은 고딕"/>
                <w:b w:val="0"/>
                <w:sz w:val="20"/>
              </w:rPr>
              <w:t>표면 토큰 매칭</w:t>
            </w:r>
          </w:p>
        </w:tc>
        <w:tc>
          <w:tcPr>
            <w:tcW w:type="dxa" w:w="1520"/>
          </w:tcPr>
          <w:p>
            <w:r>
              <w:rPr>
                <w:rFonts w:ascii="Times New Roman" w:hAnsi="Times New Roman" w:eastAsia="맑은 고딕"/>
                <w:b w:val="0"/>
                <w:sz w:val="20"/>
              </w:rPr>
              <w:t>빠름, 결정적</w:t>
            </w:r>
          </w:p>
        </w:tc>
        <w:tc>
          <w:tcPr>
            <w:tcW w:type="dxa" w:w="1520"/>
          </w:tcPr>
          <w:p>
            <w:r>
              <w:rPr>
                <w:rFonts w:ascii="Times New Roman" w:hAnsi="Times New Roman" w:eastAsia="맑은 고딕"/>
                <w:b w:val="0"/>
                <w:sz w:val="20"/>
              </w:rPr>
              <w:t>표현 다양성 미반영</w:t>
            </w:r>
          </w:p>
        </w:tc>
      </w:tr>
      <w:tr>
        <w:tc>
          <w:tcPr>
            <w:tcW w:type="dxa" w:w="1520"/>
          </w:tcPr>
          <w:p>
            <w:r>
              <w:rPr>
                <w:rFonts w:ascii="Times New Roman" w:hAnsi="Times New Roman" w:eastAsia="맑은 고딕"/>
                <w:b w:val="0"/>
                <w:sz w:val="20"/>
              </w:rPr>
              <w:t>2</w:t>
            </w:r>
          </w:p>
        </w:tc>
        <w:tc>
          <w:tcPr>
            <w:tcW w:type="dxa" w:w="1520"/>
          </w:tcPr>
          <w:p>
            <w:r>
              <w:rPr>
                <w:rFonts w:ascii="Times New Roman" w:hAnsi="Times New Roman" w:eastAsia="맑은 고딕"/>
                <w:b w:val="0"/>
                <w:sz w:val="20"/>
              </w:rPr>
              <w:t>NLI (mDeBERTa)</w:t>
            </w:r>
          </w:p>
        </w:tc>
        <w:tc>
          <w:tcPr>
            <w:tcW w:type="dxa" w:w="1520"/>
          </w:tcPr>
          <w:p>
            <w:r>
              <w:rPr>
                <w:rFonts w:ascii="Times New Roman" w:hAnsi="Times New Roman" w:eastAsia="맑은 고딕"/>
                <w:b w:val="0"/>
                <w:sz w:val="20"/>
              </w:rPr>
              <w:t>entailment_rate, contradiction_rate</w:t>
            </w:r>
          </w:p>
        </w:tc>
        <w:tc>
          <w:tcPr>
            <w:tcW w:type="dxa" w:w="1520"/>
          </w:tcPr>
          <w:p>
            <w:r>
              <w:rPr>
                <w:rFonts w:ascii="Times New Roman" w:hAnsi="Times New Roman" w:eastAsia="맑은 고딕"/>
                <w:b w:val="0"/>
                <w:sz w:val="20"/>
              </w:rPr>
              <w:t>의미적 함의</w:t>
            </w:r>
          </w:p>
        </w:tc>
        <w:tc>
          <w:tcPr>
            <w:tcW w:type="dxa" w:w="1520"/>
          </w:tcPr>
          <w:p>
            <w:r>
              <w:rPr>
                <w:rFonts w:ascii="Times New Roman" w:hAnsi="Times New Roman" w:eastAsia="맑은 고딕"/>
                <w:b w:val="0"/>
                <w:sz w:val="20"/>
              </w:rPr>
              <w:t>표현 다양성 반영</w:t>
            </w:r>
          </w:p>
        </w:tc>
        <w:tc>
          <w:tcPr>
            <w:tcW w:type="dxa" w:w="1520"/>
          </w:tcPr>
          <w:p>
            <w:r>
              <w:rPr>
                <w:rFonts w:ascii="Times New Roman" w:hAnsi="Times New Roman" w:eastAsia="맑은 고딕"/>
                <w:b w:val="0"/>
                <w:sz w:val="20"/>
              </w:rPr>
              <w:t>모델 의존성</w:t>
            </w:r>
          </w:p>
        </w:tc>
      </w:tr>
      <w:tr>
        <w:tc>
          <w:tcPr>
            <w:tcW w:type="dxa" w:w="1520"/>
          </w:tcPr>
          <w:p>
            <w:r>
              <w:rPr>
                <w:rFonts w:ascii="Times New Roman" w:hAnsi="Times New Roman" w:eastAsia="맑은 고딕"/>
                <w:b w:val="0"/>
                <w:sz w:val="20"/>
              </w:rPr>
              <w:t>3</w:t>
            </w:r>
          </w:p>
        </w:tc>
        <w:tc>
          <w:tcPr>
            <w:tcW w:type="dxa" w:w="1520"/>
          </w:tcPr>
          <w:p>
            <w:r>
              <w:rPr>
                <w:rFonts w:ascii="Times New Roman" w:hAnsi="Times New Roman" w:eastAsia="맑은 고딕"/>
                <w:b w:val="0"/>
                <w:sz w:val="20"/>
              </w:rPr>
              <w:t>G-Eval (Cross)</w:t>
            </w:r>
          </w:p>
        </w:tc>
        <w:tc>
          <w:tcPr>
            <w:tcW w:type="dxa" w:w="1520"/>
          </w:tcPr>
          <w:p>
            <w:r>
              <w:rPr>
                <w:rFonts w:ascii="Times New Roman" w:hAnsi="Times New Roman" w:eastAsia="맑은 고딕"/>
                <w:b w:val="0"/>
                <w:sz w:val="20"/>
              </w:rPr>
              <w:t>factual/completeness/sensitive/style (1~5)</w:t>
            </w:r>
          </w:p>
        </w:tc>
        <w:tc>
          <w:tcPr>
            <w:tcW w:type="dxa" w:w="1520"/>
          </w:tcPr>
          <w:p>
            <w:r>
              <w:rPr>
                <w:rFonts w:ascii="Times New Roman" w:hAnsi="Times New Roman" w:eastAsia="맑은 고딕"/>
                <w:b w:val="0"/>
                <w:sz w:val="20"/>
              </w:rPr>
              <w:t>LLM judge 다차원</w:t>
            </w:r>
          </w:p>
        </w:tc>
        <w:tc>
          <w:tcPr>
            <w:tcW w:type="dxa" w:w="1520"/>
          </w:tcPr>
          <w:p>
            <w:r>
              <w:rPr>
                <w:rFonts w:ascii="Times New Roman" w:hAnsi="Times New Roman" w:eastAsia="맑은 고딕"/>
                <w:b w:val="0"/>
                <w:sz w:val="20"/>
              </w:rPr>
              <w:t>다차원 평가</w:t>
            </w:r>
          </w:p>
        </w:tc>
        <w:tc>
          <w:tcPr>
            <w:tcW w:type="dxa" w:w="1520"/>
          </w:tcPr>
          <w:p>
            <w:r>
              <w:rPr>
                <w:rFonts w:ascii="Times New Roman" w:hAnsi="Times New Roman" w:eastAsia="맑은 고딕"/>
                <w:b w:val="0"/>
                <w:sz w:val="20"/>
              </w:rPr>
              <w:t>self-bias 위험</w:t>
            </w:r>
          </w:p>
        </w:tc>
      </w:tr>
      <w:tr>
        <w:tc>
          <w:tcPr>
            <w:tcW w:type="dxa" w:w="1520"/>
          </w:tcPr>
          <w:p>
            <w:r>
              <w:rPr>
                <w:rFonts w:ascii="Times New Roman" w:hAnsi="Times New Roman" w:eastAsia="맑은 고딕"/>
                <w:b w:val="0"/>
                <w:sz w:val="20"/>
              </w:rPr>
              <w:t>4</w:t>
            </w:r>
          </w:p>
        </w:tc>
        <w:tc>
          <w:tcPr>
            <w:tcW w:type="dxa" w:w="1520"/>
          </w:tcPr>
          <w:p>
            <w:r>
              <w:rPr>
                <w:rFonts w:ascii="Times New Roman" w:hAnsi="Times New Roman" w:eastAsia="맑은 고딕"/>
                <w:b w:val="0"/>
                <w:sz w:val="20"/>
              </w:rPr>
              <w:t>Persona</w:t>
            </w:r>
          </w:p>
        </w:tc>
        <w:tc>
          <w:tcPr>
            <w:tcW w:type="dxa" w:w="1520"/>
          </w:tcPr>
          <w:p>
            <w:r>
              <w:rPr>
                <w:rFonts w:ascii="Times New Roman" w:hAnsi="Times New Roman" w:eastAsia="맑은 고딕"/>
                <w:b w:val="0"/>
                <w:sz w:val="20"/>
              </w:rPr>
              <w:t>trust/clarity/actionability (1~5) × 3 페르소나</w:t>
            </w:r>
          </w:p>
        </w:tc>
        <w:tc>
          <w:tcPr>
            <w:tcW w:type="dxa" w:w="1520"/>
          </w:tcPr>
          <w:p>
            <w:r>
              <w:rPr>
                <w:rFonts w:ascii="Times New Roman" w:hAnsi="Times New Roman" w:eastAsia="맑은 고딕"/>
                <w:b w:val="0"/>
                <w:sz w:val="20"/>
              </w:rPr>
              <w:t>이해관계자 관점</w:t>
            </w:r>
          </w:p>
        </w:tc>
        <w:tc>
          <w:tcPr>
            <w:tcW w:type="dxa" w:w="1520"/>
          </w:tcPr>
          <w:p>
            <w:r>
              <w:rPr>
                <w:rFonts w:ascii="Times New Roman" w:hAnsi="Times New Roman" w:eastAsia="맑은 고딕"/>
                <w:b w:val="0"/>
                <w:sz w:val="20"/>
              </w:rPr>
              <w:t>응용 적합성</w:t>
            </w:r>
          </w:p>
        </w:tc>
        <w:tc>
          <w:tcPr>
            <w:tcW w:type="dxa" w:w="1520"/>
          </w:tcPr>
          <w:p>
            <w:r>
              <w:rPr>
                <w:rFonts w:ascii="Times New Roman" w:hAnsi="Times New Roman" w:eastAsia="맑은 고딕"/>
                <w:b w:val="0"/>
                <w:sz w:val="20"/>
              </w:rPr>
              <w:t>LLM proxy 한계</w:t>
            </w:r>
          </w:p>
        </w:tc>
      </w:tr>
    </w:tbl>
    <w:p>
      <w:pPr>
        <w:spacing w:line="480" w:lineRule="auto" w:before="0" w:after="120"/>
        <w:ind w:firstLine="283"/>
        <w:jc w:val="left"/>
      </w:pPr>
      <w:r>
        <w:rPr>
          <w:rFonts w:ascii="Times New Roman" w:hAnsi="Times New Roman" w:eastAsia="맑은 고딕"/>
          <w:b w:val="0"/>
          <w:sz w:val="22"/>
        </w:rPr>
        <w:t>본 4-tier 체계는 동일한 LLM 출력을 4가지 다른 관점에서 동시 측정 하여, 단일 지표로는 잡히지 않는 trade-off를 정량적으로 드러내는 데 목적이 있다. 다음 제6장에서는 이 평가 프레임워크를 본 연구의 4-mode 컨텍스트(no_shap / generic_rag / shaponly / fusion)에 적용한 모든 실험 결과를 통합 보고한다.</w:t>
      </w:r>
    </w:p>
    <w:p>
      <w:r>
        <w:br w:type="page"/>
      </w:r>
    </w:p>
    <w:p>
      <w:pPr>
        <w:pStyle w:val="Heading1"/>
        <w:spacing w:line="480" w:lineRule="auto" w:before="480" w:after="360"/>
        <w:jc w:val="center"/>
      </w:pPr>
      <w:r>
        <w:rPr>
          <w:rFonts w:ascii="Times New Roman" w:hAnsi="Times New Roman" w:eastAsia="맑은 고딕"/>
          <w:b/>
          <w:color w:val="000000"/>
          <w:sz w:val="32"/>
        </w:rPr>
        <w:t>제 4 장. 분석 결과</w:t>
      </w:r>
    </w:p>
    <w:p>
      <w:pPr>
        <w:spacing w:line="480" w:lineRule="auto" w:before="0" w:after="120"/>
        <w:ind w:firstLine="283"/>
        <w:jc w:val="left"/>
      </w:pPr>
      <w:r>
        <w:rPr>
          <w:rFonts w:ascii="Times New Roman" w:hAnsi="Times New Roman" w:eastAsia="맑은 고딕"/>
          <w:b w:val="0"/>
          <w:sz w:val="22"/>
        </w:rPr>
        <w:t>본 장은 본 연구가 제3장과 제4장에서 기술한 데이터·방법론에 제5장의 평가 프레임워크를 적용한 모든 실험 결과를 통합 보고한다. 결과는 (1) 모델 성능 비교, (2) SHAP × 어텐션 일관성, (3) 4-mode 자연어 설명 비교, (4) 페르소나 평가, (5) 공정성 보정, (6) 일반화 검증의 6개 절로 구성된다.</w:t>
      </w:r>
    </w:p>
    <w:p>
      <w:pPr>
        <w:pStyle w:val="Heading2"/>
        <w:spacing w:line="480" w:lineRule="auto" w:before="360" w:after="240"/>
        <w:jc w:val="left"/>
      </w:pPr>
      <w:r>
        <w:rPr>
          <w:rFonts w:ascii="Times New Roman" w:hAnsi="Times New Roman" w:eastAsia="맑은 고딕"/>
          <w:b/>
          <w:color w:val="000000"/>
          <w:sz w:val="26"/>
        </w:rPr>
        <w:t>4.1 모델 성능 비교</w:t>
      </w:r>
    </w:p>
    <w:p>
      <w:pPr>
        <w:pStyle w:val="Heading3"/>
        <w:spacing w:line="480" w:lineRule="auto" w:before="240" w:after="120"/>
        <w:jc w:val="left"/>
      </w:pPr>
      <w:r>
        <w:rPr>
          <w:rFonts w:ascii="Times New Roman" w:hAnsi="Times New Roman" w:eastAsia="맑은 고딕"/>
          <w:b/>
          <w:color w:val="000000"/>
          <w:sz w:val="22"/>
        </w:rPr>
        <w:t>4.1.1 Home Credit Default Risk 5-fold CV 결과</w:t>
      </w:r>
    </w:p>
    <w:p>
      <w:pPr>
        <w:spacing w:line="480" w:lineRule="auto" w:before="0" w:after="120"/>
        <w:ind w:firstLine="283"/>
        <w:jc w:val="left"/>
      </w:pPr>
      <w:r>
        <w:rPr>
          <w:rFonts w:ascii="Times New Roman" w:hAnsi="Times New Roman" w:eastAsia="맑은 고딕"/>
          <w:b w:val="0"/>
          <w:sz w:val="22"/>
        </w:rPr>
        <w:t>Home Credit Default Risk 데이터셋에 대한 4가지 모델의 5-fold stratified CV 결과는 표 4-1과 같다. 모든 모델은 동일한 학습/검증 분할에 대해 학습되었으며, 검증 셋에서 결정된 임계값을 테스트 셋에 적용하여 평가하였다.</w:t>
      </w:r>
    </w:p>
    <w:p>
      <w:pPr>
        <w:spacing w:line="480" w:lineRule="auto" w:before="0" w:after="120"/>
        <w:ind w:firstLine="283"/>
        <w:jc w:val="left"/>
      </w:pPr>
      <w:r>
        <w:rPr>
          <w:rFonts w:ascii="Times New Roman" w:hAnsi="Times New Roman" w:eastAsia="맑은 고딕"/>
          <w:b w:val="0"/>
          <w:sz w:val="22"/>
        </w:rPr>
        <w:t>표 4-1. Home Credit Default Risk 5-fold CV 모델 성능 (test set, mean ± std)</w:t>
      </w:r>
    </w:p>
    <w:tbl>
      <w:tblPr>
        <w:tblStyle w:val="LightGrid"/>
        <w:tblW w:type="auto" w:w="0"/>
        <w:tblLook w:firstColumn="1" w:firstRow="1" w:lastColumn="0" w:lastRow="0" w:noHBand="0" w:noVBand="1" w:val="04A0"/>
      </w:tblPr>
      <w:tblGrid>
        <w:gridCol w:w="1520"/>
        <w:gridCol w:w="1520"/>
        <w:gridCol w:w="1520"/>
        <w:gridCol w:w="1520"/>
        <w:gridCol w:w="1520"/>
        <w:gridCol w:w="1520"/>
      </w:tblGrid>
      <w:tr>
        <w:tc>
          <w:tcPr>
            <w:tcW w:type="dxa" w:w="1520"/>
          </w:tcPr>
          <w:p>
            <w:r>
              <w:rPr>
                <w:rFonts w:ascii="Times New Roman" w:hAnsi="Times New Roman" w:eastAsia="맑은 고딕"/>
                <w:b/>
                <w:sz w:val="20"/>
              </w:rPr>
              <w:t>모델</w:t>
            </w:r>
          </w:p>
        </w:tc>
        <w:tc>
          <w:tcPr>
            <w:tcW w:type="dxa" w:w="1520"/>
          </w:tcPr>
          <w:p>
            <w:r>
              <w:rPr>
                <w:rFonts w:ascii="Times New Roman" w:hAnsi="Times New Roman" w:eastAsia="맑은 고딕"/>
                <w:b/>
                <w:sz w:val="20"/>
              </w:rPr>
              <w:t>AUROC</w:t>
            </w:r>
          </w:p>
        </w:tc>
        <w:tc>
          <w:tcPr>
            <w:tcW w:type="dxa" w:w="1520"/>
          </w:tcPr>
          <w:p>
            <w:r>
              <w:rPr>
                <w:rFonts w:ascii="Times New Roman" w:hAnsi="Times New Roman" w:eastAsia="맑은 고딕"/>
                <w:b/>
                <w:sz w:val="20"/>
              </w:rPr>
              <w:t>AUPRC</w:t>
            </w:r>
          </w:p>
        </w:tc>
        <w:tc>
          <w:tcPr>
            <w:tcW w:type="dxa" w:w="1520"/>
          </w:tcPr>
          <w:p>
            <w:r>
              <w:rPr>
                <w:rFonts w:ascii="Times New Roman" w:hAnsi="Times New Roman" w:eastAsia="맑은 고딕"/>
                <w:b/>
                <w:sz w:val="20"/>
              </w:rPr>
              <w:t>KS</w:t>
            </w:r>
          </w:p>
        </w:tc>
        <w:tc>
          <w:tcPr>
            <w:tcW w:type="dxa" w:w="1520"/>
          </w:tcPr>
          <w:p>
            <w:r>
              <w:rPr>
                <w:rFonts w:ascii="Times New Roman" w:hAnsi="Times New Roman" w:eastAsia="맑은 고딕"/>
                <w:b/>
                <w:sz w:val="20"/>
              </w:rPr>
              <w:t>F1</w:t>
            </w:r>
          </w:p>
        </w:tc>
        <w:tc>
          <w:tcPr>
            <w:tcW w:type="dxa" w:w="1520"/>
          </w:tcPr>
          <w:p>
            <w:r>
              <w:rPr>
                <w:rFonts w:ascii="Times New Roman" w:hAnsi="Times New Roman" w:eastAsia="맑은 고딕"/>
                <w:b/>
                <w:sz w:val="20"/>
              </w:rPr>
              <w:t>time(s)</w:t>
            </w:r>
          </w:p>
        </w:tc>
      </w:tr>
      <w:tr>
        <w:tc>
          <w:tcPr>
            <w:tcW w:type="dxa" w:w="1520"/>
          </w:tcPr>
          <w:p>
            <w:r>
              <w:rPr>
                <w:rFonts w:ascii="Times New Roman" w:hAnsi="Times New Roman" w:eastAsia="맑은 고딕"/>
                <w:b w:val="0"/>
                <w:sz w:val="20"/>
              </w:rPr>
              <w:t>Logistic</w:t>
            </w:r>
          </w:p>
        </w:tc>
        <w:tc>
          <w:tcPr>
            <w:tcW w:type="dxa" w:w="1520"/>
          </w:tcPr>
          <w:p>
            <w:r>
              <w:rPr>
                <w:rFonts w:ascii="Times New Roman" w:hAnsi="Times New Roman" w:eastAsia="맑은 고딕"/>
                <w:b w:val="0"/>
                <w:sz w:val="20"/>
              </w:rPr>
              <w:t>0.7544 ± 0.0001</w:t>
            </w:r>
          </w:p>
        </w:tc>
        <w:tc>
          <w:tcPr>
            <w:tcW w:type="dxa" w:w="1520"/>
          </w:tcPr>
          <w:p>
            <w:r>
              <w:rPr>
                <w:rFonts w:ascii="Times New Roman" w:hAnsi="Times New Roman" w:eastAsia="맑은 고딕"/>
                <w:b w:val="0"/>
                <w:sz w:val="20"/>
              </w:rPr>
              <w:t>0.2343 ± 0.0006</w:t>
            </w:r>
          </w:p>
        </w:tc>
        <w:tc>
          <w:tcPr>
            <w:tcW w:type="dxa" w:w="1520"/>
          </w:tcPr>
          <w:p>
            <w:r>
              <w:rPr>
                <w:rFonts w:ascii="Times New Roman" w:hAnsi="Times New Roman" w:eastAsia="맑은 고딕"/>
                <w:b w:val="0"/>
                <w:sz w:val="20"/>
              </w:rPr>
              <w:t>0.3804 ± 0.0010</w:t>
            </w:r>
          </w:p>
        </w:tc>
        <w:tc>
          <w:tcPr>
            <w:tcW w:type="dxa" w:w="1520"/>
          </w:tcPr>
          <w:p>
            <w:r>
              <w:rPr>
                <w:rFonts w:ascii="Times New Roman" w:hAnsi="Times New Roman" w:eastAsia="맑은 고딕"/>
                <w:b w:val="0"/>
                <w:sz w:val="20"/>
              </w:rPr>
              <w:t>0.2631 ± 0.0087</w:t>
            </w:r>
          </w:p>
        </w:tc>
        <w:tc>
          <w:tcPr>
            <w:tcW w:type="dxa" w:w="1520"/>
          </w:tcPr>
          <w:p>
            <w:r>
              <w:rPr>
                <w:rFonts w:ascii="Times New Roman" w:hAnsi="Times New Roman" w:eastAsia="맑은 고딕"/>
                <w:b w:val="0"/>
                <w:sz w:val="20"/>
              </w:rPr>
              <w:t>134.6 ± 21.3</w:t>
            </w:r>
          </w:p>
        </w:tc>
      </w:tr>
      <w:tr>
        <w:tc>
          <w:tcPr>
            <w:tcW w:type="dxa" w:w="1520"/>
          </w:tcPr>
          <w:p>
            <w:r>
              <w:rPr>
                <w:rFonts w:ascii="Times New Roman" w:hAnsi="Times New Roman" w:eastAsia="맑은 고딕"/>
                <w:b w:val="0"/>
                <w:sz w:val="20"/>
              </w:rPr>
              <w:t>**XGBoost**</w:t>
            </w:r>
          </w:p>
        </w:tc>
        <w:tc>
          <w:tcPr>
            <w:tcW w:type="dxa" w:w="1520"/>
          </w:tcPr>
          <w:p>
            <w:r>
              <w:rPr>
                <w:rFonts w:ascii="Times New Roman" w:hAnsi="Times New Roman" w:eastAsia="맑은 고딕"/>
                <w:b w:val="0"/>
                <w:sz w:val="20"/>
              </w:rPr>
              <w:t>**0.7587 ± 0.0008**</w:t>
            </w:r>
          </w:p>
        </w:tc>
        <w:tc>
          <w:tcPr>
            <w:tcW w:type="dxa" w:w="1520"/>
          </w:tcPr>
          <w:p>
            <w:r>
              <w:rPr>
                <w:rFonts w:ascii="Times New Roman" w:hAnsi="Times New Roman" w:eastAsia="맑은 고딕"/>
                <w:b w:val="0"/>
                <w:sz w:val="20"/>
              </w:rPr>
              <w:t>**0.2436 ± 0.0021**</w:t>
            </w:r>
          </w:p>
        </w:tc>
        <w:tc>
          <w:tcPr>
            <w:tcW w:type="dxa" w:w="1520"/>
          </w:tcPr>
          <w:p>
            <w:r>
              <w:rPr>
                <w:rFonts w:ascii="Times New Roman" w:hAnsi="Times New Roman" w:eastAsia="맑은 고딕"/>
                <w:b w:val="0"/>
                <w:sz w:val="20"/>
              </w:rPr>
              <w:t>**0.3829 ± 0.0017**</w:t>
            </w:r>
          </w:p>
        </w:tc>
        <w:tc>
          <w:tcPr>
            <w:tcW w:type="dxa" w:w="1520"/>
          </w:tcPr>
          <w:p>
            <w:r>
              <w:rPr>
                <w:rFonts w:ascii="Times New Roman" w:hAnsi="Times New Roman" w:eastAsia="맑은 고딕"/>
                <w:b w:val="0"/>
                <w:sz w:val="20"/>
              </w:rPr>
              <w:t>0.2725 ± 0.0061</w:t>
            </w:r>
          </w:p>
        </w:tc>
        <w:tc>
          <w:tcPr>
            <w:tcW w:type="dxa" w:w="1520"/>
          </w:tcPr>
          <w:p>
            <w:r>
              <w:rPr>
                <w:rFonts w:ascii="Times New Roman" w:hAnsi="Times New Roman" w:eastAsia="맑은 고딕"/>
                <w:b w:val="0"/>
                <w:sz w:val="20"/>
              </w:rPr>
              <w:t>7.8 ± 0.9</w:t>
            </w:r>
          </w:p>
        </w:tc>
      </w:tr>
      <w:tr>
        <w:tc>
          <w:tcPr>
            <w:tcW w:type="dxa" w:w="1520"/>
          </w:tcPr>
          <w:p>
            <w:r>
              <w:rPr>
                <w:rFonts w:ascii="Times New Roman" w:hAnsi="Times New Roman" w:eastAsia="맑은 고딕"/>
                <w:b w:val="0"/>
                <w:sz w:val="20"/>
              </w:rPr>
              <w:t>LightGBM</w:t>
            </w:r>
          </w:p>
        </w:tc>
        <w:tc>
          <w:tcPr>
            <w:tcW w:type="dxa" w:w="1520"/>
          </w:tcPr>
          <w:p>
            <w:r>
              <w:rPr>
                <w:rFonts w:ascii="Times New Roman" w:hAnsi="Times New Roman" w:eastAsia="맑은 고딕"/>
                <w:b w:val="0"/>
                <w:sz w:val="20"/>
              </w:rPr>
              <w:t>0.7544 ± 0.0009</w:t>
            </w:r>
          </w:p>
        </w:tc>
        <w:tc>
          <w:tcPr>
            <w:tcW w:type="dxa" w:w="1520"/>
          </w:tcPr>
          <w:p>
            <w:r>
              <w:rPr>
                <w:rFonts w:ascii="Times New Roman" w:hAnsi="Times New Roman" w:eastAsia="맑은 고딕"/>
                <w:b w:val="0"/>
                <w:sz w:val="20"/>
              </w:rPr>
              <w:t>0.2402 ± 0.0018</w:t>
            </w:r>
          </w:p>
        </w:tc>
        <w:tc>
          <w:tcPr>
            <w:tcW w:type="dxa" w:w="1520"/>
          </w:tcPr>
          <w:p>
            <w:r>
              <w:rPr>
                <w:rFonts w:ascii="Times New Roman" w:hAnsi="Times New Roman" w:eastAsia="맑은 고딕"/>
                <w:b w:val="0"/>
                <w:sz w:val="20"/>
              </w:rPr>
              <w:t>0.3788 ± 0.0028</w:t>
            </w:r>
          </w:p>
        </w:tc>
        <w:tc>
          <w:tcPr>
            <w:tcW w:type="dxa" w:w="1520"/>
          </w:tcPr>
          <w:p>
            <w:r>
              <w:rPr>
                <w:rFonts w:ascii="Times New Roman" w:hAnsi="Times New Roman" w:eastAsia="맑은 고딕"/>
                <w:b w:val="0"/>
                <w:sz w:val="20"/>
              </w:rPr>
              <w:t>0.2584 ± 0.0052</w:t>
            </w:r>
          </w:p>
        </w:tc>
        <w:tc>
          <w:tcPr>
            <w:tcW w:type="dxa" w:w="1520"/>
          </w:tcPr>
          <w:p>
            <w:r>
              <w:rPr>
                <w:rFonts w:ascii="Times New Roman" w:hAnsi="Times New Roman" w:eastAsia="맑은 고딕"/>
                <w:b w:val="0"/>
                <w:sz w:val="20"/>
              </w:rPr>
              <w:t>12.5 ± 0.4</w:t>
            </w:r>
          </w:p>
        </w:tc>
      </w:tr>
      <w:tr>
        <w:tc>
          <w:tcPr>
            <w:tcW w:type="dxa" w:w="1520"/>
          </w:tcPr>
          <w:p>
            <w:r>
              <w:rPr>
                <w:rFonts w:ascii="Times New Roman" w:hAnsi="Times New Roman" w:eastAsia="맑은 고딕"/>
                <w:b w:val="0"/>
                <w:sz w:val="20"/>
              </w:rPr>
              <w:t>TabNet</w:t>
            </w:r>
          </w:p>
        </w:tc>
        <w:tc>
          <w:tcPr>
            <w:tcW w:type="dxa" w:w="1520"/>
          </w:tcPr>
          <w:p>
            <w:r>
              <w:rPr>
                <w:rFonts w:ascii="Times New Roman" w:hAnsi="Times New Roman" w:eastAsia="맑은 고딕"/>
                <w:b w:val="0"/>
                <w:sz w:val="20"/>
              </w:rPr>
              <w:t>0.7543 ± 0.0026</w:t>
            </w:r>
          </w:p>
        </w:tc>
        <w:tc>
          <w:tcPr>
            <w:tcW w:type="dxa" w:w="1520"/>
          </w:tcPr>
          <w:p>
            <w:r>
              <w:rPr>
                <w:rFonts w:ascii="Times New Roman" w:hAnsi="Times New Roman" w:eastAsia="맑은 고딕"/>
                <w:b w:val="0"/>
                <w:sz w:val="20"/>
              </w:rPr>
              <w:t>0.2389 ± 0.0019</w:t>
            </w:r>
          </w:p>
        </w:tc>
        <w:tc>
          <w:tcPr>
            <w:tcW w:type="dxa" w:w="1520"/>
          </w:tcPr>
          <w:p>
            <w:r>
              <w:rPr>
                <w:rFonts w:ascii="Times New Roman" w:hAnsi="Times New Roman" w:eastAsia="맑은 고딕"/>
                <w:b w:val="0"/>
                <w:sz w:val="20"/>
              </w:rPr>
              <w:t>0.3801 ± 0.0033</w:t>
            </w:r>
          </w:p>
        </w:tc>
        <w:tc>
          <w:tcPr>
            <w:tcW w:type="dxa" w:w="1520"/>
          </w:tcPr>
          <w:p>
            <w:r>
              <w:rPr>
                <w:rFonts w:ascii="Times New Roman" w:hAnsi="Times New Roman" w:eastAsia="맑은 고딕"/>
                <w:b w:val="0"/>
                <w:sz w:val="20"/>
              </w:rPr>
              <w:t>0.2697 ± 0.0058</w:t>
            </w:r>
          </w:p>
        </w:tc>
        <w:tc>
          <w:tcPr>
            <w:tcW w:type="dxa" w:w="1520"/>
          </w:tcPr>
          <w:p>
            <w:r>
              <w:rPr>
                <w:rFonts w:ascii="Times New Roman" w:hAnsi="Times New Roman" w:eastAsia="맑은 고딕"/>
                <w:b w:val="0"/>
                <w:sz w:val="20"/>
              </w:rPr>
              <w:t>187.4 ± 12.6</w:t>
            </w:r>
          </w:p>
        </w:tc>
      </w:tr>
    </w:tbl>
    <w:p>
      <w:pPr>
        <w:spacing w:line="480" w:lineRule="auto" w:before="0" w:after="120"/>
        <w:ind w:firstLine="283"/>
        <w:jc w:val="left"/>
      </w:pPr>
      <w:r>
        <w:rPr>
          <w:rFonts w:ascii="Times New Roman" w:hAnsi="Times New Roman" w:eastAsia="맑은 고딕"/>
          <w:b w:val="0"/>
          <w:sz w:val="22"/>
        </w:rPr>
        <w:t>XGBoost가 AUROC, AUPRC, KS의 3개 핵심 지표 모두에서 1위를 차지하였다(AUROC 0.7587, AUPRC 0.2436, KS 0.3829). TabNet은 0.7543으로 XGBoost 대비 0.0044 낮은 AUROC를 보였으나, 학습 시간 측면에서는 GPU 활용에도 불구하고 가장 길었다. Logistic 회귀와 LightGBM은 두 모델 사이의 중간 성능을 보였다.</w:t>
      </w:r>
    </w:p>
    <w:p>
      <w:pPr>
        <w:spacing w:line="480" w:lineRule="auto" w:before="0" w:after="120"/>
        <w:ind w:firstLine="283"/>
        <w:jc w:val="left"/>
      </w:pPr>
      <w:r>
        <w:rPr>
          <w:rFonts w:ascii="Times New Roman" w:hAnsi="Times New Roman" w:eastAsia="맑은 고딕"/>
          <w:b w:val="0"/>
          <w:sz w:val="22"/>
        </w:rPr>
        <w:t>본 연구는 XGBoost를 메인 예측 모델로, TabNet을 보조 모델 + 어텐션 추출용으로 활용하는 결정의 근거를 이 결과에서 직접적으로 얻는다. 두 모델의 AUROC 차이가 0.5%p 이내로 작아, 두 모델의 해석 정보를 융합하는 것이 예측 성능 차원에서도 정당화될 수 있다.</w:t>
      </w:r>
    </w:p>
    <w:p>
      <w:pPr>
        <w:pStyle w:val="Heading3"/>
        <w:spacing w:line="480" w:lineRule="auto" w:before="240" w:after="120"/>
        <w:jc w:val="left"/>
      </w:pPr>
      <w:r>
        <w:rPr>
          <w:rFonts w:ascii="Times New Roman" w:hAnsi="Times New Roman" w:eastAsia="맑은 고딕"/>
          <w:b/>
          <w:color w:val="000000"/>
          <w:sz w:val="22"/>
        </w:rPr>
        <w:t>4.1.2 보조 테이블 추가 효과</w:t>
      </w:r>
    </w:p>
    <w:p>
      <w:pPr>
        <w:spacing w:line="480" w:lineRule="auto" w:before="0" w:after="120"/>
        <w:ind w:firstLine="283"/>
        <w:jc w:val="left"/>
      </w:pPr>
      <w:r>
        <w:rPr>
          <w:rFonts w:ascii="Times New Roman" w:hAnsi="Times New Roman" w:eastAsia="맑은 고딕"/>
          <w:b w:val="0"/>
          <w:sz w:val="22"/>
        </w:rPr>
        <w:t>본 연구는 메인 테이블(application_train.csv)에 더해 두 개의 보조 테이블(bureau, previous_application)을 추가하여 변수를 1,161개로 확장한 aux 데이터셋을 구성하였다. 이 aux 데이터셋에서의 XGBoost 5-fold CV 결과는 AUROC 0.7755 (baseline 대비 +0.0168, 약 +2.22%)로 향상되었다. AUPRC는 +8.21%, KS는 +7.81% 향상되었다.</w:t>
      </w:r>
    </w:p>
    <w:p>
      <w:pPr>
        <w:spacing w:line="480" w:lineRule="auto" w:before="0" w:after="120"/>
        <w:ind w:firstLine="283"/>
        <w:jc w:val="left"/>
      </w:pPr>
      <w:r>
        <w:rPr>
          <w:rFonts w:ascii="Times New Roman" w:hAnsi="Times New Roman" w:eastAsia="맑은 고딕"/>
          <w:b w:val="0"/>
          <w:sz w:val="22"/>
        </w:rPr>
        <w:t>다만 SHAP global 분석에서 bureau 변수들은 상위 20위 안에 진입하지 못하였는데, 이는 bureau 정보가 메인 테이블의 외부 신용평가 점수(EXT_SOURCE_) 변수에 압축적으로 응축* 되었을 가능성을 시사한다. 이 가설의 직접 검증은 향후 연구로 제시한다.</w:t>
      </w:r>
    </w:p>
    <w:p>
      <w:pPr>
        <w:pStyle w:val="Heading3"/>
        <w:spacing w:line="480" w:lineRule="auto" w:before="240" w:after="120"/>
        <w:jc w:val="left"/>
      </w:pPr>
      <w:r>
        <w:rPr>
          <w:rFonts w:ascii="Times New Roman" w:hAnsi="Times New Roman" w:eastAsia="맑은 고딕"/>
          <w:b/>
          <w:color w:val="000000"/>
          <w:sz w:val="22"/>
        </w:rPr>
        <w:t>4.1.3 UCI German Credit 5-fold CV 결과</w:t>
      </w:r>
    </w:p>
    <w:p>
      <w:pPr>
        <w:spacing w:line="480" w:lineRule="auto" w:before="0" w:after="120"/>
        <w:ind w:firstLine="283"/>
        <w:jc w:val="left"/>
      </w:pPr>
      <w:r>
        <w:rPr>
          <w:rFonts w:ascii="Times New Roman" w:hAnsi="Times New Roman" w:eastAsia="맑은 고딕"/>
          <w:b w:val="0"/>
          <w:sz w:val="22"/>
        </w:rPr>
        <w:t>UCI German Credit 데이터셋에서의 5-fold CV 결과는 표 4-2와 같다.</w:t>
      </w:r>
    </w:p>
    <w:p>
      <w:pPr>
        <w:spacing w:line="480" w:lineRule="auto" w:before="0" w:after="120"/>
        <w:ind w:firstLine="283"/>
        <w:jc w:val="left"/>
      </w:pPr>
      <w:r>
        <w:rPr>
          <w:rFonts w:ascii="Times New Roman" w:hAnsi="Times New Roman" w:eastAsia="맑은 고딕"/>
          <w:b w:val="0"/>
          <w:sz w:val="22"/>
        </w:rPr>
        <w:t>표 4-2. UCI German Credit 5-fold CV 모델 성능 (test set, mean ± std)</w:t>
      </w:r>
    </w:p>
    <w:tbl>
      <w:tblPr>
        <w:tblStyle w:val="LightGrid"/>
        <w:tblW w:type="auto" w:w="0"/>
        <w:tblLook w:firstColumn="1" w:firstRow="1" w:lastColumn="0" w:lastRow="0" w:noHBand="0" w:noVBand="1" w:val="04A0"/>
      </w:tblPr>
      <w:tblGrid>
        <w:gridCol w:w="1824"/>
        <w:gridCol w:w="1824"/>
        <w:gridCol w:w="1824"/>
        <w:gridCol w:w="1824"/>
        <w:gridCol w:w="1824"/>
      </w:tblGrid>
      <w:tr>
        <w:tc>
          <w:tcPr>
            <w:tcW w:type="dxa" w:w="1824"/>
          </w:tcPr>
          <w:p>
            <w:r>
              <w:rPr>
                <w:rFonts w:ascii="Times New Roman" w:hAnsi="Times New Roman" w:eastAsia="맑은 고딕"/>
                <w:b/>
                <w:sz w:val="20"/>
              </w:rPr>
              <w:t>모델</w:t>
            </w:r>
          </w:p>
        </w:tc>
        <w:tc>
          <w:tcPr>
            <w:tcW w:type="dxa" w:w="1824"/>
          </w:tcPr>
          <w:p>
            <w:r>
              <w:rPr>
                <w:rFonts w:ascii="Times New Roman" w:hAnsi="Times New Roman" w:eastAsia="맑은 고딕"/>
                <w:b/>
                <w:sz w:val="20"/>
              </w:rPr>
              <w:t>AUROC</w:t>
            </w:r>
          </w:p>
        </w:tc>
        <w:tc>
          <w:tcPr>
            <w:tcW w:type="dxa" w:w="1824"/>
          </w:tcPr>
          <w:p>
            <w:r>
              <w:rPr>
                <w:rFonts w:ascii="Times New Roman" w:hAnsi="Times New Roman" w:eastAsia="맑은 고딕"/>
                <w:b/>
                <w:sz w:val="20"/>
              </w:rPr>
              <w:t>AUPRC</w:t>
            </w:r>
          </w:p>
        </w:tc>
        <w:tc>
          <w:tcPr>
            <w:tcW w:type="dxa" w:w="1824"/>
          </w:tcPr>
          <w:p>
            <w:r>
              <w:rPr>
                <w:rFonts w:ascii="Times New Roman" w:hAnsi="Times New Roman" w:eastAsia="맑은 고딕"/>
                <w:b/>
                <w:sz w:val="20"/>
              </w:rPr>
              <w:t>KS</w:t>
            </w:r>
          </w:p>
        </w:tc>
        <w:tc>
          <w:tcPr>
            <w:tcW w:type="dxa" w:w="1824"/>
          </w:tcPr>
          <w:p>
            <w:r>
              <w:rPr>
                <w:rFonts w:ascii="Times New Roman" w:hAnsi="Times New Roman" w:eastAsia="맑은 고딕"/>
                <w:b/>
                <w:sz w:val="20"/>
              </w:rPr>
              <w:t>F1</w:t>
            </w:r>
          </w:p>
        </w:tc>
      </w:tr>
      <w:tr>
        <w:tc>
          <w:tcPr>
            <w:tcW w:type="dxa" w:w="1824"/>
          </w:tcPr>
          <w:p>
            <w:r>
              <w:rPr>
                <w:rFonts w:ascii="Times New Roman" w:hAnsi="Times New Roman" w:eastAsia="맑은 고딕"/>
                <w:b w:val="0"/>
                <w:sz w:val="20"/>
              </w:rPr>
              <w:t>**Logistic**</w:t>
            </w:r>
          </w:p>
        </w:tc>
        <w:tc>
          <w:tcPr>
            <w:tcW w:type="dxa" w:w="1824"/>
          </w:tcPr>
          <w:p>
            <w:r>
              <w:rPr>
                <w:rFonts w:ascii="Times New Roman" w:hAnsi="Times New Roman" w:eastAsia="맑은 고딕"/>
                <w:b w:val="0"/>
                <w:sz w:val="20"/>
              </w:rPr>
              <w:t>**0.7972 ± 0.0126**</w:t>
            </w:r>
          </w:p>
        </w:tc>
        <w:tc>
          <w:tcPr>
            <w:tcW w:type="dxa" w:w="1824"/>
          </w:tcPr>
          <w:p>
            <w:r>
              <w:rPr>
                <w:rFonts w:ascii="Times New Roman" w:hAnsi="Times New Roman" w:eastAsia="맑은 고딕"/>
                <w:b w:val="0"/>
                <w:sz w:val="20"/>
              </w:rPr>
              <w:t>**0.6466 ± 0.0221**</w:t>
            </w:r>
          </w:p>
        </w:tc>
        <w:tc>
          <w:tcPr>
            <w:tcW w:type="dxa" w:w="1824"/>
          </w:tcPr>
          <w:p>
            <w:r>
              <w:rPr>
                <w:rFonts w:ascii="Times New Roman" w:hAnsi="Times New Roman" w:eastAsia="맑은 고딕"/>
                <w:b w:val="0"/>
                <w:sz w:val="20"/>
              </w:rPr>
              <w:t>**0.4862 ± 0.0356**</w:t>
            </w:r>
          </w:p>
        </w:tc>
        <w:tc>
          <w:tcPr>
            <w:tcW w:type="dxa" w:w="1824"/>
          </w:tcPr>
          <w:p>
            <w:r>
              <w:rPr>
                <w:rFonts w:ascii="Times New Roman" w:hAnsi="Times New Roman" w:eastAsia="맑은 고딕"/>
                <w:b w:val="0"/>
                <w:sz w:val="20"/>
              </w:rPr>
              <w:t>**0.6087 ± 0.0142**</w:t>
            </w:r>
          </w:p>
        </w:tc>
      </w:tr>
      <w:tr>
        <w:tc>
          <w:tcPr>
            <w:tcW w:type="dxa" w:w="1824"/>
          </w:tcPr>
          <w:p>
            <w:r>
              <w:rPr>
                <w:rFonts w:ascii="Times New Roman" w:hAnsi="Times New Roman" w:eastAsia="맑은 고딕"/>
                <w:b w:val="0"/>
                <w:sz w:val="20"/>
              </w:rPr>
              <w:t>XGBoost</w:t>
            </w:r>
          </w:p>
        </w:tc>
        <w:tc>
          <w:tcPr>
            <w:tcW w:type="dxa" w:w="1824"/>
          </w:tcPr>
          <w:p>
            <w:r>
              <w:rPr>
                <w:rFonts w:ascii="Times New Roman" w:hAnsi="Times New Roman" w:eastAsia="맑은 고딕"/>
                <w:b w:val="0"/>
                <w:sz w:val="20"/>
              </w:rPr>
              <w:t>0.7714 ± 0.0292</w:t>
            </w:r>
          </w:p>
        </w:tc>
        <w:tc>
          <w:tcPr>
            <w:tcW w:type="dxa" w:w="1824"/>
          </w:tcPr>
          <w:p>
            <w:r>
              <w:rPr>
                <w:rFonts w:ascii="Times New Roman" w:hAnsi="Times New Roman" w:eastAsia="맑은 고딕"/>
                <w:b w:val="0"/>
                <w:sz w:val="20"/>
              </w:rPr>
              <w:t>0.5918 ± 0.0582</w:t>
            </w:r>
          </w:p>
        </w:tc>
        <w:tc>
          <w:tcPr>
            <w:tcW w:type="dxa" w:w="1824"/>
          </w:tcPr>
          <w:p>
            <w:r>
              <w:rPr>
                <w:rFonts w:ascii="Times New Roman" w:hAnsi="Times New Roman" w:eastAsia="맑은 고딕"/>
                <w:b w:val="0"/>
                <w:sz w:val="20"/>
              </w:rPr>
              <w:t>0.4248 ± 0.0264</w:t>
            </w:r>
          </w:p>
        </w:tc>
        <w:tc>
          <w:tcPr>
            <w:tcW w:type="dxa" w:w="1824"/>
          </w:tcPr>
          <w:p>
            <w:r>
              <w:rPr>
                <w:rFonts w:ascii="Times New Roman" w:hAnsi="Times New Roman" w:eastAsia="맑은 고딕"/>
                <w:b w:val="0"/>
                <w:sz w:val="20"/>
              </w:rPr>
              <w:t>0.5625 ± 0.0255</w:t>
            </w:r>
          </w:p>
        </w:tc>
      </w:tr>
      <w:tr>
        <w:tc>
          <w:tcPr>
            <w:tcW w:type="dxa" w:w="1824"/>
          </w:tcPr>
          <w:p>
            <w:r>
              <w:rPr>
                <w:rFonts w:ascii="Times New Roman" w:hAnsi="Times New Roman" w:eastAsia="맑은 고딕"/>
                <w:b w:val="0"/>
                <w:sz w:val="20"/>
              </w:rPr>
              <w:t>LightGBM</w:t>
            </w:r>
          </w:p>
        </w:tc>
        <w:tc>
          <w:tcPr>
            <w:tcW w:type="dxa" w:w="1824"/>
          </w:tcPr>
          <w:p>
            <w:r>
              <w:rPr>
                <w:rFonts w:ascii="Times New Roman" w:hAnsi="Times New Roman" w:eastAsia="맑은 고딕"/>
                <w:b w:val="0"/>
                <w:sz w:val="20"/>
              </w:rPr>
              <w:t>0.7747 ± 0.0211</w:t>
            </w:r>
          </w:p>
        </w:tc>
        <w:tc>
          <w:tcPr>
            <w:tcW w:type="dxa" w:w="1824"/>
          </w:tcPr>
          <w:p>
            <w:r>
              <w:rPr>
                <w:rFonts w:ascii="Times New Roman" w:hAnsi="Times New Roman" w:eastAsia="맑은 고딕"/>
                <w:b w:val="0"/>
                <w:sz w:val="20"/>
              </w:rPr>
              <w:t>0.6274 ± 0.0303</w:t>
            </w:r>
          </w:p>
        </w:tc>
        <w:tc>
          <w:tcPr>
            <w:tcW w:type="dxa" w:w="1824"/>
          </w:tcPr>
          <w:p>
            <w:r>
              <w:rPr>
                <w:rFonts w:ascii="Times New Roman" w:hAnsi="Times New Roman" w:eastAsia="맑은 고딕"/>
                <w:b w:val="0"/>
                <w:sz w:val="20"/>
              </w:rPr>
              <w:t>0.4281 ± 0.0302</w:t>
            </w:r>
          </w:p>
        </w:tc>
        <w:tc>
          <w:tcPr>
            <w:tcW w:type="dxa" w:w="1824"/>
          </w:tcPr>
          <w:p>
            <w:r>
              <w:rPr>
                <w:rFonts w:ascii="Times New Roman" w:hAnsi="Times New Roman" w:eastAsia="맑은 고딕"/>
                <w:b w:val="0"/>
                <w:sz w:val="20"/>
              </w:rPr>
              <w:t>0.5559 ± 0.0281</w:t>
            </w:r>
          </w:p>
        </w:tc>
      </w:tr>
      <w:tr>
        <w:tc>
          <w:tcPr>
            <w:tcW w:type="dxa" w:w="1824"/>
          </w:tcPr>
          <w:p>
            <w:r>
              <w:rPr>
                <w:rFonts w:ascii="Times New Roman" w:hAnsi="Times New Roman" w:eastAsia="맑은 고딕"/>
                <w:b w:val="0"/>
                <w:sz w:val="20"/>
              </w:rPr>
              <w:t>TabNet</w:t>
            </w:r>
          </w:p>
        </w:tc>
        <w:tc>
          <w:tcPr>
            <w:tcW w:type="dxa" w:w="1824"/>
          </w:tcPr>
          <w:p>
            <w:r>
              <w:rPr>
                <w:rFonts w:ascii="Times New Roman" w:hAnsi="Times New Roman" w:eastAsia="맑은 고딕"/>
                <w:b w:val="0"/>
                <w:sz w:val="20"/>
              </w:rPr>
              <w:t>0.7499 ± 0.0131</w:t>
            </w:r>
          </w:p>
        </w:tc>
        <w:tc>
          <w:tcPr>
            <w:tcW w:type="dxa" w:w="1824"/>
          </w:tcPr>
          <w:p>
            <w:r>
              <w:rPr>
                <w:rFonts w:ascii="Times New Roman" w:hAnsi="Times New Roman" w:eastAsia="맑은 고딕"/>
                <w:b w:val="0"/>
                <w:sz w:val="20"/>
              </w:rPr>
              <w:t>0.5389 ± 0.0370</w:t>
            </w:r>
          </w:p>
        </w:tc>
        <w:tc>
          <w:tcPr>
            <w:tcW w:type="dxa" w:w="1824"/>
          </w:tcPr>
          <w:p>
            <w:r>
              <w:rPr>
                <w:rFonts w:ascii="Times New Roman" w:hAnsi="Times New Roman" w:eastAsia="맑은 고딕"/>
                <w:b w:val="0"/>
                <w:sz w:val="20"/>
              </w:rPr>
              <w:t>0.4338 ± 0.0246</w:t>
            </w:r>
          </w:p>
        </w:tc>
        <w:tc>
          <w:tcPr>
            <w:tcW w:type="dxa" w:w="1824"/>
          </w:tcPr>
          <w:p>
            <w:r>
              <w:rPr>
                <w:rFonts w:ascii="Times New Roman" w:hAnsi="Times New Roman" w:eastAsia="맑은 고딕"/>
                <w:b w:val="0"/>
                <w:sz w:val="20"/>
              </w:rPr>
              <w:t>0.5606 ± 0.0139</w:t>
            </w:r>
          </w:p>
        </w:tc>
      </w:tr>
    </w:tbl>
    <w:p>
      <w:pPr>
        <w:spacing w:line="480" w:lineRule="auto" w:before="0" w:after="120"/>
        <w:ind w:firstLine="283"/>
        <w:jc w:val="left"/>
      </w:pPr>
      <w:r>
        <w:rPr>
          <w:rFonts w:ascii="Times New Roman" w:hAnsi="Times New Roman" w:eastAsia="맑은 고딕"/>
          <w:b w:val="0"/>
          <w:sz w:val="22"/>
        </w:rPr>
        <w:t>흥미롭게도 UCI German Credit에서는 Logistic 회귀가 AUROC 0.7972로 1위를 차지하였다. 이는 데이터 규모가 작은(1,000건) 환경에서 단순 선형 모델의 강건성이 부각된 결과로 해석된다. XGBoost와 TabNet은 0.7714와 0.7499로 Home Credit에서의 결과(0.7587, 0.7543)와 유사한 수준을 보였으며, 이는 본 연구의 메커니즘이 작은 데이터셋에서도 유의미한 예측 능력을 보임을 시사한다.</w:t>
      </w:r>
    </w:p>
    <w:p>
      <w:pPr>
        <w:spacing w:line="480" w:lineRule="auto" w:before="0" w:after="120"/>
        <w:ind w:firstLine="283"/>
        <w:jc w:val="left"/>
      </w:pPr>
      <w:r>
        <w:rPr>
          <w:rFonts w:ascii="Times New Roman" w:hAnsi="Times New Roman" w:eastAsia="맑은 고딕"/>
          <w:b w:val="0"/>
          <w:sz w:val="22"/>
        </w:rPr>
        <w:t>본 연구는 Home Credit과 동일한 메커니즘 일치성을 위해 UCI German Credit에서도 XGBoost를 메인 예측 모델로 활용하며, AUROC 0.7714 수준의 성능에서 Fusion 메커니즘을 평가한다.</w:t>
      </w:r>
    </w:p>
    <w:p>
      <w:pPr>
        <w:pStyle w:val="Heading2"/>
        <w:spacing w:line="480" w:lineRule="auto" w:before="360" w:after="240"/>
        <w:jc w:val="left"/>
      </w:pPr>
      <w:r>
        <w:rPr>
          <w:rFonts w:ascii="Times New Roman" w:hAnsi="Times New Roman" w:eastAsia="맑은 고딕"/>
          <w:b/>
          <w:color w:val="000000"/>
          <w:sz w:val="26"/>
        </w:rPr>
        <w:t>4.2 SHAP × 어텐션 일관성</w:t>
      </w:r>
    </w:p>
    <w:p>
      <w:pPr>
        <w:pStyle w:val="Heading3"/>
        <w:spacing w:line="480" w:lineRule="auto" w:before="240" w:after="120"/>
        <w:jc w:val="left"/>
      </w:pPr>
      <w:r>
        <w:rPr>
          <w:rFonts w:ascii="Times New Roman" w:hAnsi="Times New Roman" w:eastAsia="맑은 고딕"/>
          <w:b/>
          <w:color w:val="000000"/>
          <w:sz w:val="22"/>
        </w:rPr>
        <w:t>4.2.1 Home Credit 일관성 분석</w:t>
      </w:r>
    </w:p>
    <w:p>
      <w:pPr>
        <w:spacing w:line="480" w:lineRule="auto" w:before="0" w:after="120"/>
        <w:ind w:firstLine="283"/>
        <w:jc w:val="left"/>
      </w:pPr>
      <w:r>
        <w:rPr>
          <w:rFonts w:ascii="Times New Roman" w:hAnsi="Times New Roman" w:eastAsia="맑은 고딕"/>
          <w:b w:val="0"/>
          <w:sz w:val="22"/>
        </w:rPr>
        <w:t>Home Credit 데이터셋의 테스트 셋 5,000명에 대한 평균 |SHAP|과 평균 어텐션의 Spearman 순위 상관계수는 ρ = 0.117 (p &lt; 0.05)로 약한 양의 상관 이 관찰되었다. Top-50 변수 집합의 중복률은 약 0.32 수준이며, Top-K 분석에서 K가 증가할수록 중복률이 감소하는 경향이 확인되었다(Top-10 약 0.30, Top-20 약 0.30, Top-50 0.32). 흥미롭게도 Top-50 부분에서는 ρ가 -0.195로 음의 상관 으로 전환되어, 두 해석 모델이 상위 변수에서는 상보적 관계를 보이는 패턴이 관찰되었다.</w:t>
      </w:r>
    </w:p>
    <w:p>
      <w:pPr>
        <w:spacing w:line="240" w:lineRule="auto" w:before="240" w:after="0"/>
        <w:jc w:val="center"/>
      </w:pPr>
      <w:r>
        <w:drawing>
          <wp:inline xmlns:a="http://schemas.openxmlformats.org/drawingml/2006/main" xmlns:pic="http://schemas.openxmlformats.org/drawingml/2006/picture">
            <wp:extent cx="5040000" cy="2218805"/>
            <wp:docPr id="2" name="Picture 2"/>
            <wp:cNvGraphicFramePr>
              <a:graphicFrameLocks noChangeAspect="1"/>
            </wp:cNvGraphicFramePr>
            <a:graphic>
              <a:graphicData uri="http://schemas.openxmlformats.org/drawingml/2006/picture">
                <pic:pic>
                  <pic:nvPicPr>
                    <pic:cNvPr id="0" name="16_attention_vs_shap_scatter.png"/>
                    <pic:cNvPicPr/>
                  </pic:nvPicPr>
                  <pic:blipFill>
                    <a:blip r:embed="rId10"/>
                    <a:stretch>
                      <a:fillRect/>
                    </a:stretch>
                  </pic:blipFill>
                  <pic:spPr>
                    <a:xfrm>
                      <a:off x="0" y="0"/>
                      <a:ext cx="5040000" cy="2218805"/>
                    </a:xfrm>
                    <a:prstGeom prst="rect"/>
                  </pic:spPr>
                </pic:pic>
              </a:graphicData>
            </a:graphic>
          </wp:inline>
        </w:drawing>
      </w:r>
    </w:p>
    <w:p>
      <w:pPr>
        <w:spacing w:line="480" w:lineRule="auto" w:before="0" w:after="240"/>
        <w:jc w:val="center"/>
      </w:pPr>
      <w:r>
        <w:rPr>
          <w:rFonts w:ascii="Times New Roman" w:hAnsi="Times New Roman" w:eastAsia="맑은 고딕"/>
          <w:b/>
          <w:sz w:val="20"/>
        </w:rPr>
        <w:t>그림 4-1. Home Credit XGBoost SHAP global importance와 TabNet 평균 어텐션의 산점도 (Spearman ρ=0.117)</w:t>
      </w:r>
    </w:p>
    <w:p>
      <w:pPr>
        <w:spacing w:line="480" w:lineRule="auto" w:before="0" w:after="120"/>
        <w:ind w:firstLine="283"/>
        <w:jc w:val="left"/>
      </w:pPr>
      <w:r>
        <w:rPr>
          <w:rFonts w:ascii="Times New Roman" w:hAnsi="Times New Roman" w:eastAsia="맑은 고딕"/>
          <w:b w:val="0"/>
          <w:sz w:val="22"/>
        </w:rPr>
        <w:t>이는 SHAP과 어텐션이 전체 변수에서는 약한 양의 상관 을 보이되 상위 핵심 변수에서는 서로 다른 변수를 강조 하는 특성이 있음을 의미한다. 즉 본 연구가 두 해석 모델을 agreed / shap_only / attention_only 의 3그룹으로 분해하여 활용하는 동기가 정량적으로 입증된다.</w:t>
      </w:r>
    </w:p>
    <w:p>
      <w:pPr>
        <w:pStyle w:val="Heading3"/>
        <w:spacing w:line="480" w:lineRule="auto" w:before="240" w:after="120"/>
        <w:jc w:val="left"/>
      </w:pPr>
      <w:r>
        <w:rPr>
          <w:rFonts w:ascii="Times New Roman" w:hAnsi="Times New Roman" w:eastAsia="맑은 고딕"/>
          <w:b/>
          <w:color w:val="000000"/>
          <w:sz w:val="22"/>
        </w:rPr>
        <w:t>4.2.2 인스턴스 수준 동의 통계</w:t>
      </w:r>
    </w:p>
    <w:p>
      <w:pPr>
        <w:spacing w:line="480" w:lineRule="auto" w:before="0" w:after="120"/>
        <w:ind w:firstLine="283"/>
        <w:jc w:val="left"/>
      </w:pPr>
      <w:r>
        <w:rPr>
          <w:rFonts w:ascii="Times New Roman" w:hAnsi="Times New Roman" w:eastAsia="맑은 고딕"/>
          <w:b w:val="0"/>
          <w:sz w:val="22"/>
        </w:rPr>
        <w:t>Home Credit 100명에 대한 인스턴스별 동의 그룹 크기 분석 결과 평균 n_agreed = 2.12 (k=5 기준 약 42%), 분포는 0~3개 범위에서 변동하였으며 4개 이상의 동의는 발생하지 않았다. 즉 SHAP top-5와 어텐션 top-5의 교집합은 평균적으로 약 2개이며, 나머지 약 6개의 변수는 두 해석 모델 중 하나에서만 강조된다. 이는 LLM 컨텍스트에 agreement 라벨 을 명시하는 것이 의사결정의 신뢰도 차이를 직접적으로 LLM에 전달할 수 있음을 시사한다.</w:t>
      </w:r>
    </w:p>
    <w:p>
      <w:pPr>
        <w:pStyle w:val="Heading2"/>
        <w:spacing w:line="480" w:lineRule="auto" w:before="360" w:after="240"/>
        <w:jc w:val="left"/>
      </w:pPr>
      <w:r>
        <w:rPr>
          <w:rFonts w:ascii="Times New Roman" w:hAnsi="Times New Roman" w:eastAsia="맑은 고딕"/>
          <w:b/>
          <w:color w:val="000000"/>
          <w:sz w:val="26"/>
        </w:rPr>
        <w:t>4.3 4-mode 자연어 설명 비교</w:t>
      </w:r>
    </w:p>
    <w:p>
      <w:pPr>
        <w:pStyle w:val="Heading3"/>
        <w:spacing w:line="480" w:lineRule="auto" w:before="240" w:after="120"/>
        <w:jc w:val="left"/>
      </w:pPr>
      <w:r>
        <w:rPr>
          <w:rFonts w:ascii="Times New Roman" w:hAnsi="Times New Roman" w:eastAsia="맑은 고딕"/>
          <w:b/>
          <w:color w:val="000000"/>
          <w:sz w:val="22"/>
        </w:rPr>
        <w:t>4.3.1 4-mode 정의와 평가 대상</w:t>
      </w:r>
    </w:p>
    <w:p>
      <w:pPr>
        <w:spacing w:line="480" w:lineRule="auto" w:before="0" w:after="120"/>
        <w:ind w:firstLine="283"/>
        <w:jc w:val="left"/>
      </w:pPr>
      <w:r>
        <w:rPr>
          <w:rFonts w:ascii="Times New Roman" w:hAnsi="Times New Roman" w:eastAsia="맑은 고딕"/>
          <w:b w:val="0"/>
          <w:sz w:val="22"/>
        </w:rPr>
        <w:t>본 절은 동일한 30개 인스턴스에 대해 4가지 컨텍스트 모드(no_shap / generic_rag / shaponly / fusion)와 2가지 LLM(Anthropic Claude / Google Gemini)을 적용한 60건의 자연어 설명에 대한 평가 결과를 보고한다. UCI German Credit에서도 동일 구조로 60건이 평가되어, 총 120건 + cross-judge G-Eval 평가가 이루어졌다.</w:t>
      </w:r>
    </w:p>
    <w:p>
      <w:pPr>
        <w:pStyle w:val="Heading3"/>
        <w:spacing w:line="480" w:lineRule="auto" w:before="240" w:after="120"/>
        <w:jc w:val="left"/>
      </w:pPr>
      <w:r>
        <w:rPr>
          <w:rFonts w:ascii="Times New Roman" w:hAnsi="Times New Roman" w:eastAsia="맑은 고딕"/>
          <w:b/>
          <w:color w:val="000000"/>
          <w:sz w:val="22"/>
        </w:rPr>
        <w:t>4.3.2 환각률 (Hallucination Rate)</w:t>
      </w:r>
    </w:p>
    <w:p>
      <w:pPr>
        <w:spacing w:line="480" w:lineRule="auto" w:before="0" w:after="120"/>
        <w:ind w:firstLine="283"/>
        <w:jc w:val="left"/>
      </w:pPr>
      <w:r>
        <w:rPr>
          <w:rFonts w:ascii="Times New Roman" w:hAnsi="Times New Roman" w:eastAsia="맑은 고딕"/>
          <w:b w:val="0"/>
          <w:sz w:val="22"/>
        </w:rPr>
        <w:t>Home Credit 데이터셋의 4-mode × 2 LLM 60건 모두에서 환각률 0% 가 달성되었다. 즉 LLM 출력에 등장한 모든 영문 대문자 변수 토큰은 입력 컨텍스트 또는 데이터셋 내부에 존재하는 변수였다. 이 결과는 다음 두 가지를 시사한다.</w:t>
      </w:r>
    </w:p>
    <w:p>
      <w:pPr>
        <w:spacing w:line="480" w:lineRule="auto" w:before="0" w:after="120"/>
        <w:ind w:firstLine="283"/>
        <w:jc w:val="left"/>
      </w:pPr>
      <w:r>
        <w:rPr>
          <w:rFonts w:ascii="Times New Roman" w:hAnsi="Times New Roman" w:eastAsia="맑은 고딕"/>
          <w:b w:val="0"/>
          <w:sz w:val="22"/>
        </w:rPr>
        <w:t>첫째, hard constraint만으로 환각 차단이 충분조건 이다. 단순한 제약 ("컨텍스트에 없는 변수는 생성 금지")이 반복 강조될 경우 LLM은 본 연구의 모든 모드에서 환각 없이 응답을 생성한다.</w:t>
      </w:r>
    </w:p>
    <w:p>
      <w:pPr>
        <w:spacing w:line="480" w:lineRule="auto" w:before="0" w:after="120"/>
        <w:ind w:firstLine="283"/>
        <w:jc w:val="left"/>
      </w:pPr>
      <w:r>
        <w:rPr>
          <w:rFonts w:ascii="Times New Roman" w:hAnsi="Times New Roman" w:eastAsia="맑은 고딕"/>
          <w:b w:val="0"/>
          <w:sz w:val="22"/>
        </w:rPr>
        <w:t>둘째, 환각 차단은 본 연구 fusion 메커니즘의 차별성 근거가 아니다. 만일 fusion 모드에서만 환각률이 0%이고 다른 모드에서는 0%보다 컸다면, "fusion = 환각 차단" 이라는 메시지를 강조할 수 있을 것이다. 그러나 모든 모드에서 환각률 0%가 달성되었으므로, 본 연구는 fusion 메커니즘의 차별성을 환각 차단 이 아닌 다른 차원에서 찾아야 한다. 그 차원이 다음 6.3.3절의 NLI 함의도와 6.3.4절의 값 정확 인용이다.</w:t>
      </w:r>
    </w:p>
    <w:p>
      <w:pPr>
        <w:pStyle w:val="Heading3"/>
        <w:spacing w:line="480" w:lineRule="auto" w:before="240" w:after="120"/>
        <w:jc w:val="left"/>
      </w:pPr>
      <w:r>
        <w:rPr>
          <w:rFonts w:ascii="Times New Roman" w:hAnsi="Times New Roman" w:eastAsia="맑은 고딕"/>
          <w:b/>
          <w:color w:val="000000"/>
          <w:sz w:val="22"/>
        </w:rPr>
        <w:t>4.3.3 NLI Entailment Rate</w:t>
      </w:r>
    </w:p>
    <w:p>
      <w:pPr>
        <w:spacing w:line="480" w:lineRule="auto" w:before="0" w:after="120"/>
        <w:ind w:firstLine="283"/>
        <w:jc w:val="left"/>
      </w:pPr>
      <w:r>
        <w:rPr>
          <w:rFonts w:ascii="Times New Roman" w:hAnsi="Times New Roman" w:eastAsia="맑은 고딕"/>
          <w:b w:val="0"/>
          <w:sz w:val="22"/>
        </w:rPr>
        <w:t>표 4-3은 4-mode × 2 LLM의 NLI Entailment Rate 결과를 보여준다.</w:t>
      </w:r>
    </w:p>
    <w:p>
      <w:pPr>
        <w:spacing w:line="480" w:lineRule="auto" w:before="0" w:after="120"/>
        <w:ind w:firstLine="283"/>
        <w:jc w:val="left"/>
      </w:pPr>
      <w:r>
        <w:rPr>
          <w:rFonts w:ascii="Times New Roman" w:hAnsi="Times New Roman" w:eastAsia="맑은 고딕"/>
          <w:b w:val="0"/>
          <w:sz w:val="22"/>
        </w:rPr>
        <w:t>표 4-3. Home Credit 4-mode NLI Entailment Rate (n=30 each)</w:t>
      </w:r>
    </w:p>
    <w:tbl>
      <w:tblPr>
        <w:tblStyle w:val="LightGrid"/>
        <w:tblW w:type="auto" w:w="0"/>
        <w:tblLook w:firstColumn="1" w:firstRow="1" w:lastColumn="0" w:lastRow="0" w:noHBand="0" w:noVBand="1" w:val="04A0"/>
      </w:tblPr>
      <w:tblGrid>
        <w:gridCol w:w="3041"/>
        <w:gridCol w:w="3041"/>
        <w:gridCol w:w="3041"/>
      </w:tblGrid>
      <w:tr>
        <w:tc>
          <w:tcPr>
            <w:tcW w:type="dxa" w:w="3041"/>
          </w:tcPr>
          <w:p>
            <w:r>
              <w:rPr>
                <w:rFonts w:ascii="Times New Roman" w:hAnsi="Times New Roman" w:eastAsia="맑은 고딕"/>
                <w:b/>
                <w:sz w:val="20"/>
              </w:rPr>
              <w:t>Mode</w:t>
            </w:r>
          </w:p>
        </w:tc>
        <w:tc>
          <w:tcPr>
            <w:tcW w:type="dxa" w:w="3041"/>
          </w:tcPr>
          <w:p>
            <w:r>
              <w:rPr>
                <w:rFonts w:ascii="Times New Roman" w:hAnsi="Times New Roman" w:eastAsia="맑은 고딕"/>
                <w:b/>
                <w:sz w:val="20"/>
              </w:rPr>
              <w:t>Anthropic Claude</w:t>
            </w:r>
          </w:p>
        </w:tc>
        <w:tc>
          <w:tcPr>
            <w:tcW w:type="dxa" w:w="3041"/>
          </w:tcPr>
          <w:p>
            <w:r>
              <w:rPr>
                <w:rFonts w:ascii="Times New Roman" w:hAnsi="Times New Roman" w:eastAsia="맑은 고딕"/>
                <w:b/>
                <w:sz w:val="20"/>
              </w:rPr>
              <w:t>Google Gemini</w:t>
            </w:r>
          </w:p>
        </w:tc>
      </w:tr>
      <w:tr>
        <w:tc>
          <w:tcPr>
            <w:tcW w:type="dxa" w:w="3041"/>
          </w:tcPr>
          <w:p>
            <w:r>
              <w:rPr>
                <w:rFonts w:ascii="Times New Roman" w:hAnsi="Times New Roman" w:eastAsia="맑은 고딕"/>
                <w:b w:val="0"/>
                <w:sz w:val="20"/>
              </w:rPr>
              <w:t>no_shap</w:t>
            </w:r>
          </w:p>
        </w:tc>
        <w:tc>
          <w:tcPr>
            <w:tcW w:type="dxa" w:w="3041"/>
          </w:tcPr>
          <w:p>
            <w:r>
              <w:rPr>
                <w:rFonts w:ascii="Times New Roman" w:hAnsi="Times New Roman" w:eastAsia="맑은 고딕"/>
                <w:b w:val="0"/>
                <w:sz w:val="20"/>
              </w:rPr>
              <w:t>0.301</w:t>
            </w:r>
          </w:p>
        </w:tc>
        <w:tc>
          <w:tcPr>
            <w:tcW w:type="dxa" w:w="3041"/>
          </w:tcPr>
          <w:p>
            <w:r>
              <w:rPr>
                <w:rFonts w:ascii="Times New Roman" w:hAnsi="Times New Roman" w:eastAsia="맑은 고딕"/>
                <w:b w:val="0"/>
                <w:sz w:val="20"/>
              </w:rPr>
              <w:t>0.398</w:t>
            </w:r>
          </w:p>
        </w:tc>
      </w:tr>
      <w:tr>
        <w:tc>
          <w:tcPr>
            <w:tcW w:type="dxa" w:w="3041"/>
          </w:tcPr>
          <w:p>
            <w:r>
              <w:rPr>
                <w:rFonts w:ascii="Times New Roman" w:hAnsi="Times New Roman" w:eastAsia="맑은 고딕"/>
                <w:b w:val="0"/>
                <w:sz w:val="20"/>
              </w:rPr>
              <w:t>generic_rag</w:t>
            </w:r>
          </w:p>
        </w:tc>
        <w:tc>
          <w:tcPr>
            <w:tcW w:type="dxa" w:w="3041"/>
          </w:tcPr>
          <w:p>
            <w:r>
              <w:rPr>
                <w:rFonts w:ascii="Times New Roman" w:hAnsi="Times New Roman" w:eastAsia="맑은 고딕"/>
                <w:b w:val="0"/>
                <w:sz w:val="20"/>
              </w:rPr>
              <w:t>0.364</w:t>
            </w:r>
          </w:p>
        </w:tc>
        <w:tc>
          <w:tcPr>
            <w:tcW w:type="dxa" w:w="3041"/>
          </w:tcPr>
          <w:p>
            <w:r>
              <w:rPr>
                <w:rFonts w:ascii="Times New Roman" w:hAnsi="Times New Roman" w:eastAsia="맑은 고딕"/>
                <w:b w:val="0"/>
                <w:sz w:val="20"/>
              </w:rPr>
              <w:t>0.370</w:t>
            </w:r>
          </w:p>
        </w:tc>
      </w:tr>
      <w:tr>
        <w:tc>
          <w:tcPr>
            <w:tcW w:type="dxa" w:w="3041"/>
          </w:tcPr>
          <w:p>
            <w:r>
              <w:rPr>
                <w:rFonts w:ascii="Times New Roman" w:hAnsi="Times New Roman" w:eastAsia="맑은 고딕"/>
                <w:b w:val="0"/>
                <w:sz w:val="20"/>
              </w:rPr>
              <w:t>shaponly</w:t>
            </w:r>
          </w:p>
        </w:tc>
        <w:tc>
          <w:tcPr>
            <w:tcW w:type="dxa" w:w="3041"/>
          </w:tcPr>
          <w:p>
            <w:r>
              <w:rPr>
                <w:rFonts w:ascii="Times New Roman" w:hAnsi="Times New Roman" w:eastAsia="맑은 고딕"/>
                <w:b w:val="0"/>
                <w:sz w:val="20"/>
              </w:rPr>
              <w:t>0.471</w:t>
            </w:r>
          </w:p>
        </w:tc>
        <w:tc>
          <w:tcPr>
            <w:tcW w:type="dxa" w:w="3041"/>
          </w:tcPr>
          <w:p>
            <w:r>
              <w:rPr>
                <w:rFonts w:ascii="Times New Roman" w:hAnsi="Times New Roman" w:eastAsia="맑은 고딕"/>
                <w:b w:val="0"/>
                <w:sz w:val="20"/>
              </w:rPr>
              <w:t>0.450</w:t>
            </w:r>
          </w:p>
        </w:tc>
      </w:tr>
      <w:tr>
        <w:tc>
          <w:tcPr>
            <w:tcW w:type="dxa" w:w="3041"/>
          </w:tcPr>
          <w:p>
            <w:r>
              <w:rPr>
                <w:rFonts w:ascii="Times New Roman" w:hAnsi="Times New Roman" w:eastAsia="맑은 고딕"/>
                <w:b w:val="0"/>
                <w:sz w:val="20"/>
              </w:rPr>
              <w:t>**fusion**</w:t>
            </w:r>
          </w:p>
        </w:tc>
        <w:tc>
          <w:tcPr>
            <w:tcW w:type="dxa" w:w="3041"/>
          </w:tcPr>
          <w:p>
            <w:r>
              <w:rPr>
                <w:rFonts w:ascii="Times New Roman" w:hAnsi="Times New Roman" w:eastAsia="맑은 고딕"/>
                <w:b w:val="0"/>
                <w:sz w:val="20"/>
              </w:rPr>
              <w:t>**0.625**</w:t>
            </w:r>
          </w:p>
        </w:tc>
        <w:tc>
          <w:tcPr>
            <w:tcW w:type="dxa" w:w="3041"/>
          </w:tcPr>
          <w:p>
            <w:r>
              <w:rPr>
                <w:rFonts w:ascii="Times New Roman" w:hAnsi="Times New Roman" w:eastAsia="맑은 고딕"/>
                <w:b w:val="0"/>
                <w:sz w:val="20"/>
              </w:rPr>
              <w:t>**0.624**</w:t>
            </w:r>
          </w:p>
        </w:tc>
      </w:tr>
    </w:tbl>
    <w:p>
      <w:pPr>
        <w:spacing w:line="480" w:lineRule="auto" w:before="0" w:after="120"/>
        <w:ind w:firstLine="283"/>
        <w:jc w:val="left"/>
      </w:pPr>
      <w:r>
        <w:rPr>
          <w:rFonts w:ascii="Times New Roman" w:hAnsi="Times New Roman" w:eastAsia="맑은 고딕"/>
          <w:b w:val="0"/>
          <w:sz w:val="22"/>
        </w:rPr>
        <w:t>본 결과는 4가지 핵심 패턴을 보여준다.</w:t>
      </w:r>
    </w:p>
    <w:p>
      <w:pPr>
        <w:spacing w:line="480" w:lineRule="auto" w:before="0" w:after="120"/>
        <w:ind w:firstLine="283"/>
        <w:jc w:val="left"/>
      </w:pPr>
      <w:r>
        <w:rPr>
          <w:rFonts w:ascii="Times New Roman" w:hAnsi="Times New Roman" w:eastAsia="맑은 고딕"/>
          <w:b w:val="0"/>
          <w:sz w:val="22"/>
        </w:rPr>
        <w:t>첫째, fusion 모드의 일관 1위이다. 양 LLM에서 fusion이 entailment 0.625, 0.624로 가장 높으며, 이는 두 번째인 shaponly(0.471, 0.450) 대비 약 0.15~0.17 높은 큰 차이이다.</w:t>
      </w:r>
    </w:p>
    <w:p>
      <w:pPr>
        <w:spacing w:line="480" w:lineRule="auto" w:before="0" w:after="120"/>
        <w:ind w:firstLine="283"/>
        <w:jc w:val="left"/>
      </w:pPr>
      <w:r>
        <w:rPr>
          <w:rFonts w:ascii="Times New Roman" w:hAnsi="Times New Roman" w:eastAsia="맑은 고딕"/>
          <w:b w:val="0"/>
          <w:sz w:val="22"/>
        </w:rPr>
        <w:t>둘째, 단조 증가 패턴이다. no_shap &lt; generic_rag &lt; shaponly &lt; fusion의 순서가 두 LLM에서 동일하게 관찰되며, 이는 컨텍스트 정보의 양과 fact-grounding 품질이 LLM 출력의 의미적 충실성과 양의 상관 임을 의미한다.</w:t>
      </w:r>
    </w:p>
    <w:p>
      <w:pPr>
        <w:spacing w:line="480" w:lineRule="auto" w:before="0" w:after="120"/>
        <w:ind w:firstLine="283"/>
        <w:jc w:val="left"/>
      </w:pPr>
      <w:r>
        <w:rPr>
          <w:rFonts w:ascii="Times New Roman" w:hAnsi="Times New Roman" w:eastAsia="맑은 고딕"/>
          <w:b w:val="0"/>
          <w:sz w:val="22"/>
        </w:rPr>
        <w:t>셋째, generic_rag의 한계이다. generic_rag는 일반 도메인 지식 chunks를 추가했음에도 entailment가 0.364, 0.370 수준으로 no_shap(0.301, 0.398) 대비 큰 향상을 보이지 않는다. 이는 일반 도메인 지식이 인스턴스별 fact-grounding을 직접 제공하지는 않음을 시사한다.</w:t>
      </w:r>
    </w:p>
    <w:p>
      <w:pPr>
        <w:spacing w:line="480" w:lineRule="auto" w:before="0" w:after="120"/>
        <w:ind w:firstLine="283"/>
        <w:jc w:val="left"/>
      </w:pPr>
      <w:r>
        <w:rPr>
          <w:rFonts w:ascii="Times New Roman" w:hAnsi="Times New Roman" w:eastAsia="맑은 고딕"/>
          <w:b w:val="0"/>
          <w:sz w:val="22"/>
        </w:rPr>
        <w:t>넷째, LLM 모델 의존성의 작음이다. Claude와 Gemini의 fusion entailment가 0.625, 0.624로 거의 동일하여, 본 결과가 단일 LLM에 의존한 것이 아닌 모드 차원의 효과 임을 강하게 뒷받침한다.</w:t>
      </w:r>
    </w:p>
    <w:p>
      <w:pPr>
        <w:spacing w:line="240" w:lineRule="auto" w:before="240" w:after="0"/>
        <w:jc w:val="center"/>
      </w:pPr>
      <w:r>
        <w:drawing>
          <wp:inline xmlns:a="http://schemas.openxmlformats.org/drawingml/2006/main" xmlns:pic="http://schemas.openxmlformats.org/drawingml/2006/picture">
            <wp:extent cx="5040000" cy="3791461"/>
            <wp:docPr id="3" name="Picture 3"/>
            <wp:cNvGraphicFramePr>
              <a:graphicFrameLocks noChangeAspect="1"/>
            </wp:cNvGraphicFramePr>
            <a:graphic>
              <a:graphicData uri="http://schemas.openxmlformats.org/drawingml/2006/picture">
                <pic:pic>
                  <pic:nvPicPr>
                    <pic:cNvPr id="0" name="35_generic_rag_3way.png"/>
                    <pic:cNvPicPr/>
                  </pic:nvPicPr>
                  <pic:blipFill>
                    <a:blip r:embed="rId11"/>
                    <a:stretch>
                      <a:fillRect/>
                    </a:stretch>
                  </pic:blipFill>
                  <pic:spPr>
                    <a:xfrm>
                      <a:off x="0" y="0"/>
                      <a:ext cx="5040000" cy="3791461"/>
                    </a:xfrm>
                    <a:prstGeom prst="rect"/>
                  </pic:spPr>
                </pic:pic>
              </a:graphicData>
            </a:graphic>
          </wp:inline>
        </w:drawing>
      </w:r>
    </w:p>
    <w:p>
      <w:pPr>
        <w:spacing w:line="480" w:lineRule="auto" w:before="0" w:after="240"/>
        <w:jc w:val="center"/>
      </w:pPr>
      <w:r>
        <w:rPr>
          <w:rFonts w:ascii="Times New Roman" w:hAnsi="Times New Roman" w:eastAsia="맑은 고딕"/>
          <w:b/>
          <w:sz w:val="20"/>
        </w:rPr>
        <w:t>그림 4-2. Home Credit 4-mode 자연어 설명 비교 (NLI Entailment / G-Eval Completeness / Value Match Rate)</w:t>
      </w:r>
    </w:p>
    <w:p>
      <w:pPr>
        <w:pStyle w:val="Heading3"/>
        <w:spacing w:line="480" w:lineRule="auto" w:before="240" w:after="120"/>
        <w:jc w:val="left"/>
      </w:pPr>
      <w:r>
        <w:rPr>
          <w:rFonts w:ascii="Times New Roman" w:hAnsi="Times New Roman" w:eastAsia="맑은 고딕"/>
          <w:b/>
          <w:color w:val="000000"/>
          <w:sz w:val="22"/>
        </w:rPr>
        <w:t>4.3.4 Value Match Rate</w:t>
      </w:r>
    </w:p>
    <w:p>
      <w:pPr>
        <w:spacing w:line="480" w:lineRule="auto" w:before="0" w:after="120"/>
        <w:ind w:firstLine="283"/>
        <w:jc w:val="left"/>
      </w:pPr>
      <w:r>
        <w:rPr>
          <w:rFonts w:ascii="Times New Roman" w:hAnsi="Times New Roman" w:eastAsia="맑은 고딕"/>
          <w:b w:val="0"/>
          <w:sz w:val="22"/>
        </w:rPr>
        <w:t>값 정확 인용 비율(val_match_rate)은 4-mode 차이를 더욱 뚜렷하게 보여준다(표 4-4).</w:t>
      </w:r>
    </w:p>
    <w:p>
      <w:pPr>
        <w:spacing w:line="480" w:lineRule="auto" w:before="0" w:after="120"/>
        <w:ind w:firstLine="283"/>
        <w:jc w:val="left"/>
      </w:pPr>
      <w:r>
        <w:rPr>
          <w:rFonts w:ascii="Times New Roman" w:hAnsi="Times New Roman" w:eastAsia="맑은 고딕"/>
          <w:b w:val="0"/>
          <w:sz w:val="22"/>
        </w:rPr>
        <w:t>표 4-4. Home Credit 4-mode Value Match Rate</w:t>
      </w:r>
    </w:p>
    <w:tbl>
      <w:tblPr>
        <w:tblStyle w:val="LightGrid"/>
        <w:tblW w:type="auto" w:w="0"/>
        <w:tblLook w:firstColumn="1" w:firstRow="1" w:lastColumn="0" w:lastRow="0" w:noHBand="0" w:noVBand="1" w:val="04A0"/>
      </w:tblPr>
      <w:tblGrid>
        <w:gridCol w:w="3041"/>
        <w:gridCol w:w="3041"/>
        <w:gridCol w:w="3041"/>
      </w:tblGrid>
      <w:tr>
        <w:tc>
          <w:tcPr>
            <w:tcW w:type="dxa" w:w="3041"/>
          </w:tcPr>
          <w:p>
            <w:r>
              <w:rPr>
                <w:rFonts w:ascii="Times New Roman" w:hAnsi="Times New Roman" w:eastAsia="맑은 고딕"/>
                <w:b/>
                <w:sz w:val="20"/>
              </w:rPr>
              <w:t>Mode</w:t>
            </w:r>
          </w:p>
        </w:tc>
        <w:tc>
          <w:tcPr>
            <w:tcW w:type="dxa" w:w="3041"/>
          </w:tcPr>
          <w:p>
            <w:r>
              <w:rPr>
                <w:rFonts w:ascii="Times New Roman" w:hAnsi="Times New Roman" w:eastAsia="맑은 고딕"/>
                <w:b/>
                <w:sz w:val="20"/>
              </w:rPr>
              <w:t>Anthropic Claude</w:t>
            </w:r>
          </w:p>
        </w:tc>
        <w:tc>
          <w:tcPr>
            <w:tcW w:type="dxa" w:w="3041"/>
          </w:tcPr>
          <w:p>
            <w:r>
              <w:rPr>
                <w:rFonts w:ascii="Times New Roman" w:hAnsi="Times New Roman" w:eastAsia="맑은 고딕"/>
                <w:b/>
                <w:sz w:val="20"/>
              </w:rPr>
              <w:t>Google Gemini</w:t>
            </w:r>
          </w:p>
        </w:tc>
      </w:tr>
      <w:tr>
        <w:tc>
          <w:tcPr>
            <w:tcW w:type="dxa" w:w="3041"/>
          </w:tcPr>
          <w:p>
            <w:r>
              <w:rPr>
                <w:rFonts w:ascii="Times New Roman" w:hAnsi="Times New Roman" w:eastAsia="맑은 고딕"/>
                <w:b w:val="0"/>
                <w:sz w:val="20"/>
              </w:rPr>
              <w:t>no_shap</w:t>
            </w:r>
          </w:p>
        </w:tc>
        <w:tc>
          <w:tcPr>
            <w:tcW w:type="dxa" w:w="3041"/>
          </w:tcPr>
          <w:p>
            <w:r>
              <w:rPr>
                <w:rFonts w:ascii="Times New Roman" w:hAnsi="Times New Roman" w:eastAsia="맑은 고딕"/>
                <w:b w:val="0"/>
                <w:sz w:val="20"/>
              </w:rPr>
              <w:t>0.588</w:t>
            </w:r>
          </w:p>
        </w:tc>
        <w:tc>
          <w:tcPr>
            <w:tcW w:type="dxa" w:w="3041"/>
          </w:tcPr>
          <w:p>
            <w:r>
              <w:rPr>
                <w:rFonts w:ascii="Times New Roman" w:hAnsi="Times New Roman" w:eastAsia="맑은 고딕"/>
                <w:b w:val="0"/>
                <w:sz w:val="20"/>
              </w:rPr>
              <w:t>0.594</w:t>
            </w:r>
          </w:p>
        </w:tc>
      </w:tr>
      <w:tr>
        <w:tc>
          <w:tcPr>
            <w:tcW w:type="dxa" w:w="3041"/>
          </w:tcPr>
          <w:p>
            <w:r>
              <w:rPr>
                <w:rFonts w:ascii="Times New Roman" w:hAnsi="Times New Roman" w:eastAsia="맑은 고딕"/>
                <w:b w:val="0"/>
                <w:sz w:val="20"/>
              </w:rPr>
              <w:t>generic_rag</w:t>
            </w:r>
          </w:p>
        </w:tc>
        <w:tc>
          <w:tcPr>
            <w:tcW w:type="dxa" w:w="3041"/>
          </w:tcPr>
          <w:p>
            <w:r>
              <w:rPr>
                <w:rFonts w:ascii="Times New Roman" w:hAnsi="Times New Roman" w:eastAsia="맑은 고딕"/>
                <w:b w:val="0"/>
                <w:sz w:val="20"/>
              </w:rPr>
              <w:t>0.727</w:t>
            </w:r>
          </w:p>
        </w:tc>
        <w:tc>
          <w:tcPr>
            <w:tcW w:type="dxa" w:w="3041"/>
          </w:tcPr>
          <w:p>
            <w:r>
              <w:rPr>
                <w:rFonts w:ascii="Times New Roman" w:hAnsi="Times New Roman" w:eastAsia="맑은 고딕"/>
                <w:b w:val="0"/>
                <w:sz w:val="20"/>
              </w:rPr>
              <w:t>0.694</w:t>
            </w:r>
          </w:p>
        </w:tc>
      </w:tr>
      <w:tr>
        <w:tc>
          <w:tcPr>
            <w:tcW w:type="dxa" w:w="3041"/>
          </w:tcPr>
          <w:p>
            <w:r>
              <w:rPr>
                <w:rFonts w:ascii="Times New Roman" w:hAnsi="Times New Roman" w:eastAsia="맑은 고딕"/>
                <w:b w:val="0"/>
                <w:sz w:val="20"/>
              </w:rPr>
              <w:t>shaponly</w:t>
            </w:r>
          </w:p>
        </w:tc>
        <w:tc>
          <w:tcPr>
            <w:tcW w:type="dxa" w:w="3041"/>
          </w:tcPr>
          <w:p>
            <w:r>
              <w:rPr>
                <w:rFonts w:ascii="Times New Roman" w:hAnsi="Times New Roman" w:eastAsia="맑은 고딕"/>
                <w:b w:val="0"/>
                <w:sz w:val="20"/>
              </w:rPr>
              <w:t>0.847</w:t>
            </w:r>
          </w:p>
        </w:tc>
        <w:tc>
          <w:tcPr>
            <w:tcW w:type="dxa" w:w="3041"/>
          </w:tcPr>
          <w:p>
            <w:r>
              <w:rPr>
                <w:rFonts w:ascii="Times New Roman" w:hAnsi="Times New Roman" w:eastAsia="맑은 고딕"/>
                <w:b w:val="0"/>
                <w:sz w:val="20"/>
              </w:rPr>
              <w:t>0.846</w:t>
            </w:r>
          </w:p>
        </w:tc>
      </w:tr>
      <w:tr>
        <w:tc>
          <w:tcPr>
            <w:tcW w:type="dxa" w:w="3041"/>
          </w:tcPr>
          <w:p>
            <w:r>
              <w:rPr>
                <w:rFonts w:ascii="Times New Roman" w:hAnsi="Times New Roman" w:eastAsia="맑은 고딕"/>
                <w:b w:val="0"/>
                <w:sz w:val="20"/>
              </w:rPr>
              <w:t>**fusion**</w:t>
            </w:r>
          </w:p>
        </w:tc>
        <w:tc>
          <w:tcPr>
            <w:tcW w:type="dxa" w:w="3041"/>
          </w:tcPr>
          <w:p>
            <w:r>
              <w:rPr>
                <w:rFonts w:ascii="Times New Roman" w:hAnsi="Times New Roman" w:eastAsia="맑은 고딕"/>
                <w:b w:val="0"/>
                <w:sz w:val="20"/>
              </w:rPr>
              <w:t>**0.903**</w:t>
            </w:r>
          </w:p>
        </w:tc>
        <w:tc>
          <w:tcPr>
            <w:tcW w:type="dxa" w:w="3041"/>
          </w:tcPr>
          <w:p>
            <w:r>
              <w:rPr>
                <w:rFonts w:ascii="Times New Roman" w:hAnsi="Times New Roman" w:eastAsia="맑은 고딕"/>
                <w:b w:val="0"/>
                <w:sz w:val="20"/>
              </w:rPr>
              <w:t>**0.861**</w:t>
            </w:r>
          </w:p>
        </w:tc>
      </w:tr>
    </w:tbl>
    <w:p>
      <w:pPr>
        <w:spacing w:line="480" w:lineRule="auto" w:before="0" w:after="120"/>
        <w:ind w:firstLine="283"/>
        <w:jc w:val="left"/>
      </w:pPr>
      <w:r>
        <w:rPr>
          <w:rFonts w:ascii="Times New Roman" w:hAnsi="Times New Roman" w:eastAsia="맑은 고딕"/>
          <w:b w:val="0"/>
          <w:sz w:val="22"/>
        </w:rPr>
        <w:t>fusion 모드에서 값 정확 인용 비율이 0.903 (Anthropic), 0.861 (Gemini)에 도달하여, no_shap의 약 0.59와 비교하면 약 1.5배 높은 인용 정확도를 보인다. 이는 LLM이 컨텍스트에 명시된 수치 와 카테고리 값 을 정확히 인용하는 능력에서 fusion이 가장 우수함을 의미한다.</w:t>
      </w:r>
    </w:p>
    <w:p>
      <w:pPr>
        <w:pStyle w:val="Heading3"/>
        <w:spacing w:line="480" w:lineRule="auto" w:before="240" w:after="120"/>
        <w:jc w:val="left"/>
      </w:pPr>
      <w:r>
        <w:rPr>
          <w:rFonts w:ascii="Times New Roman" w:hAnsi="Times New Roman" w:eastAsia="맑은 고딕"/>
          <w:b/>
          <w:color w:val="000000"/>
          <w:sz w:val="22"/>
        </w:rPr>
        <w:t>4.3.5 G-Eval (Cross-judge) 결과</w:t>
      </w:r>
    </w:p>
    <w:p>
      <w:pPr>
        <w:spacing w:line="480" w:lineRule="auto" w:before="0" w:after="120"/>
        <w:ind w:firstLine="283"/>
        <w:jc w:val="left"/>
      </w:pPr>
      <w:r>
        <w:rPr>
          <w:rFonts w:ascii="Times New Roman" w:hAnsi="Times New Roman" w:eastAsia="맑은 고딕"/>
          <w:b w:val="0"/>
          <w:sz w:val="22"/>
        </w:rPr>
        <w:t>표 4-5는 4-mode × 2 LLM의 G-Eval Cross-judge 평가 결과 중 핵심 4차원의 평균 점수를 보여준다.</w:t>
      </w:r>
    </w:p>
    <w:p>
      <w:pPr>
        <w:spacing w:line="480" w:lineRule="auto" w:before="0" w:after="120"/>
        <w:ind w:firstLine="283"/>
        <w:jc w:val="left"/>
      </w:pPr>
      <w:r>
        <w:rPr>
          <w:rFonts w:ascii="Times New Roman" w:hAnsi="Times New Roman" w:eastAsia="맑은 고딕"/>
          <w:b w:val="0"/>
          <w:sz w:val="22"/>
        </w:rPr>
        <w:t>표 4-5. Home Credit 4-mode G-Eval (Anthropic judge)</w:t>
      </w:r>
    </w:p>
    <w:tbl>
      <w:tblPr>
        <w:tblStyle w:val="LightGrid"/>
        <w:tblW w:type="auto" w:w="0"/>
        <w:tblLook w:firstColumn="1" w:firstRow="1" w:lastColumn="0" w:lastRow="0" w:noHBand="0" w:noVBand="1" w:val="04A0"/>
      </w:tblPr>
      <w:tblGrid>
        <w:gridCol w:w="1824"/>
        <w:gridCol w:w="1824"/>
        <w:gridCol w:w="1824"/>
        <w:gridCol w:w="1824"/>
        <w:gridCol w:w="1824"/>
      </w:tblGrid>
      <w:tr>
        <w:tc>
          <w:tcPr>
            <w:tcW w:type="dxa" w:w="1824"/>
          </w:tcPr>
          <w:p>
            <w:r>
              <w:rPr>
                <w:rFonts w:ascii="Times New Roman" w:hAnsi="Times New Roman" w:eastAsia="맑은 고딕"/>
                <w:b/>
                <w:sz w:val="20"/>
              </w:rPr>
              <w:t>Mode</w:t>
            </w:r>
          </w:p>
        </w:tc>
        <w:tc>
          <w:tcPr>
            <w:tcW w:type="dxa" w:w="1824"/>
          </w:tcPr>
          <w:p>
            <w:r>
              <w:rPr>
                <w:rFonts w:ascii="Times New Roman" w:hAnsi="Times New Roman" w:eastAsia="맑은 고딕"/>
                <w:b/>
                <w:sz w:val="20"/>
              </w:rPr>
              <w:t>factual</w:t>
            </w:r>
          </w:p>
        </w:tc>
        <w:tc>
          <w:tcPr>
            <w:tcW w:type="dxa" w:w="1824"/>
          </w:tcPr>
          <w:p>
            <w:r>
              <w:rPr>
                <w:rFonts w:ascii="Times New Roman" w:hAnsi="Times New Roman" w:eastAsia="맑은 고딕"/>
                <w:b/>
                <w:sz w:val="20"/>
              </w:rPr>
              <w:t>completeness</w:t>
            </w:r>
          </w:p>
        </w:tc>
        <w:tc>
          <w:tcPr>
            <w:tcW w:type="dxa" w:w="1824"/>
          </w:tcPr>
          <w:p>
            <w:r>
              <w:rPr>
                <w:rFonts w:ascii="Times New Roman" w:hAnsi="Times New Roman" w:eastAsia="맑은 고딕"/>
                <w:b/>
                <w:sz w:val="20"/>
              </w:rPr>
              <w:t>sensitive</w:t>
            </w:r>
          </w:p>
        </w:tc>
        <w:tc>
          <w:tcPr>
            <w:tcW w:type="dxa" w:w="1824"/>
          </w:tcPr>
          <w:p>
            <w:r>
              <w:rPr>
                <w:rFonts w:ascii="Times New Roman" w:hAnsi="Times New Roman" w:eastAsia="맑은 고딕"/>
                <w:b/>
                <w:sz w:val="20"/>
              </w:rPr>
              <w:t>style</w:t>
            </w:r>
          </w:p>
        </w:tc>
      </w:tr>
      <w:tr>
        <w:tc>
          <w:tcPr>
            <w:tcW w:type="dxa" w:w="1824"/>
          </w:tcPr>
          <w:p>
            <w:r>
              <w:rPr>
                <w:rFonts w:ascii="Times New Roman" w:hAnsi="Times New Roman" w:eastAsia="맑은 고딕"/>
                <w:b w:val="0"/>
                <w:sz w:val="20"/>
              </w:rPr>
              <w:t>no_shap</w:t>
            </w:r>
          </w:p>
        </w:tc>
        <w:tc>
          <w:tcPr>
            <w:tcW w:type="dxa" w:w="1824"/>
          </w:tcPr>
          <w:p>
            <w:r>
              <w:rPr>
                <w:rFonts w:ascii="Times New Roman" w:hAnsi="Times New Roman" w:eastAsia="맑은 고딕"/>
                <w:b w:val="0"/>
                <w:sz w:val="20"/>
              </w:rPr>
              <w:t>(낮은 표본)</w:t>
            </w:r>
          </w:p>
        </w:tc>
        <w:tc>
          <w:tcPr>
            <w:tcW w:type="dxa" w:w="1824"/>
          </w:tcPr>
          <w:p>
            <w:r>
              <w:rPr>
                <w:rFonts w:ascii="Times New Roman" w:hAnsi="Times New Roman" w:eastAsia="맑은 고딕"/>
                <w:b w:val="0"/>
                <w:sz w:val="20"/>
              </w:rPr>
              <w:t>(낮은 표본)</w:t>
            </w:r>
          </w:p>
        </w:tc>
        <w:tc>
          <w:tcPr>
            <w:tcW w:type="dxa" w:w="1824"/>
          </w:tcPr>
          <w:p>
            <w:r>
              <w:rPr>
                <w:rFonts w:ascii="Times New Roman" w:hAnsi="Times New Roman" w:eastAsia="맑은 고딕"/>
                <w:b w:val="0"/>
                <w:sz w:val="20"/>
              </w:rPr>
              <w:t>5.0</w:t>
            </w:r>
          </w:p>
        </w:tc>
        <w:tc>
          <w:tcPr>
            <w:tcW w:type="dxa" w:w="1824"/>
          </w:tcPr>
          <w:p>
            <w:r>
              <w:rPr>
                <w:rFonts w:ascii="Times New Roman" w:hAnsi="Times New Roman" w:eastAsia="맑은 고딕"/>
                <w:b w:val="0"/>
                <w:sz w:val="20"/>
              </w:rPr>
              <w:t>5.0</w:t>
            </w:r>
          </w:p>
        </w:tc>
      </w:tr>
      <w:tr>
        <w:tc>
          <w:tcPr>
            <w:tcW w:type="dxa" w:w="1824"/>
          </w:tcPr>
          <w:p>
            <w:r>
              <w:rPr>
                <w:rFonts w:ascii="Times New Roman" w:hAnsi="Times New Roman" w:eastAsia="맑은 고딕"/>
                <w:b w:val="0"/>
                <w:sz w:val="20"/>
              </w:rPr>
              <w:t>generic_rag</w:t>
            </w:r>
          </w:p>
        </w:tc>
        <w:tc>
          <w:tcPr>
            <w:tcW w:type="dxa" w:w="1824"/>
          </w:tcPr>
          <w:p>
            <w:r>
              <w:rPr>
                <w:rFonts w:ascii="Times New Roman" w:hAnsi="Times New Roman" w:eastAsia="맑은 고딕"/>
                <w:b w:val="0"/>
                <w:sz w:val="20"/>
              </w:rPr>
              <w:t>4.95</w:t>
            </w:r>
          </w:p>
        </w:tc>
        <w:tc>
          <w:tcPr>
            <w:tcW w:type="dxa" w:w="1824"/>
          </w:tcPr>
          <w:p>
            <w:r>
              <w:rPr>
                <w:rFonts w:ascii="Times New Roman" w:hAnsi="Times New Roman" w:eastAsia="맑은 고딕"/>
                <w:b w:val="0"/>
                <w:sz w:val="20"/>
              </w:rPr>
              <w:t>4.48</w:t>
            </w:r>
          </w:p>
        </w:tc>
        <w:tc>
          <w:tcPr>
            <w:tcW w:type="dxa" w:w="1824"/>
          </w:tcPr>
          <w:p>
            <w:r>
              <w:rPr>
                <w:rFonts w:ascii="Times New Roman" w:hAnsi="Times New Roman" w:eastAsia="맑은 고딕"/>
                <w:b w:val="0"/>
                <w:sz w:val="20"/>
              </w:rPr>
              <w:t>5.0</w:t>
            </w:r>
          </w:p>
        </w:tc>
        <w:tc>
          <w:tcPr>
            <w:tcW w:type="dxa" w:w="1824"/>
          </w:tcPr>
          <w:p>
            <w:r>
              <w:rPr>
                <w:rFonts w:ascii="Times New Roman" w:hAnsi="Times New Roman" w:eastAsia="맑은 고딕"/>
                <w:b w:val="0"/>
                <w:sz w:val="20"/>
              </w:rPr>
              <w:t>4.97</w:t>
            </w:r>
          </w:p>
        </w:tc>
      </w:tr>
      <w:tr>
        <w:tc>
          <w:tcPr>
            <w:tcW w:type="dxa" w:w="1824"/>
          </w:tcPr>
          <w:p>
            <w:r>
              <w:rPr>
                <w:rFonts w:ascii="Times New Roman" w:hAnsi="Times New Roman" w:eastAsia="맑은 고딕"/>
                <w:b w:val="0"/>
                <w:sz w:val="20"/>
              </w:rPr>
              <w:t>shaponly</w:t>
            </w:r>
          </w:p>
        </w:tc>
        <w:tc>
          <w:tcPr>
            <w:tcW w:type="dxa" w:w="1824"/>
          </w:tcPr>
          <w:p>
            <w:r>
              <w:rPr>
                <w:rFonts w:ascii="Times New Roman" w:hAnsi="Times New Roman" w:eastAsia="맑은 고딕"/>
                <w:b w:val="0"/>
                <w:sz w:val="20"/>
              </w:rPr>
              <w:t>4.85</w:t>
            </w:r>
          </w:p>
        </w:tc>
        <w:tc>
          <w:tcPr>
            <w:tcW w:type="dxa" w:w="1824"/>
          </w:tcPr>
          <w:p>
            <w:r>
              <w:rPr>
                <w:rFonts w:ascii="Times New Roman" w:hAnsi="Times New Roman" w:eastAsia="맑은 고딕"/>
                <w:b w:val="0"/>
                <w:sz w:val="20"/>
              </w:rPr>
              <w:t>4.10</w:t>
            </w:r>
          </w:p>
        </w:tc>
        <w:tc>
          <w:tcPr>
            <w:tcW w:type="dxa" w:w="1824"/>
          </w:tcPr>
          <w:p>
            <w:r>
              <w:rPr>
                <w:rFonts w:ascii="Times New Roman" w:hAnsi="Times New Roman" w:eastAsia="맑은 고딕"/>
                <w:b w:val="0"/>
                <w:sz w:val="20"/>
              </w:rPr>
              <w:t>5.0</w:t>
            </w:r>
          </w:p>
        </w:tc>
        <w:tc>
          <w:tcPr>
            <w:tcW w:type="dxa" w:w="1824"/>
          </w:tcPr>
          <w:p>
            <w:r>
              <w:rPr>
                <w:rFonts w:ascii="Times New Roman" w:hAnsi="Times New Roman" w:eastAsia="맑은 고딕"/>
                <w:b w:val="0"/>
                <w:sz w:val="20"/>
              </w:rPr>
              <w:t>4.93</w:t>
            </w:r>
          </w:p>
        </w:tc>
      </w:tr>
      <w:tr>
        <w:tc>
          <w:tcPr>
            <w:tcW w:type="dxa" w:w="1824"/>
          </w:tcPr>
          <w:p>
            <w:r>
              <w:rPr>
                <w:rFonts w:ascii="Times New Roman" w:hAnsi="Times New Roman" w:eastAsia="맑은 고딕"/>
                <w:b w:val="0"/>
                <w:sz w:val="20"/>
              </w:rPr>
              <w:t>**fusion**</w:t>
            </w:r>
          </w:p>
        </w:tc>
        <w:tc>
          <w:tcPr>
            <w:tcW w:type="dxa" w:w="1824"/>
          </w:tcPr>
          <w:p>
            <w:r>
              <w:rPr>
                <w:rFonts w:ascii="Times New Roman" w:hAnsi="Times New Roman" w:eastAsia="맑은 고딕"/>
                <w:b w:val="0"/>
                <w:sz w:val="20"/>
              </w:rPr>
              <w:t>4.83</w:t>
            </w:r>
          </w:p>
        </w:tc>
        <w:tc>
          <w:tcPr>
            <w:tcW w:type="dxa" w:w="1824"/>
          </w:tcPr>
          <w:p>
            <w:r>
              <w:rPr>
                <w:rFonts w:ascii="Times New Roman" w:hAnsi="Times New Roman" w:eastAsia="맑은 고딕"/>
                <w:b w:val="0"/>
                <w:sz w:val="20"/>
              </w:rPr>
              <w:t>**4.82**</w:t>
            </w:r>
          </w:p>
        </w:tc>
        <w:tc>
          <w:tcPr>
            <w:tcW w:type="dxa" w:w="1824"/>
          </w:tcPr>
          <w:p>
            <w:r>
              <w:rPr>
                <w:rFonts w:ascii="Times New Roman" w:hAnsi="Times New Roman" w:eastAsia="맑은 고딕"/>
                <w:b w:val="0"/>
                <w:sz w:val="20"/>
              </w:rPr>
              <w:t>5.0</w:t>
            </w:r>
          </w:p>
        </w:tc>
        <w:tc>
          <w:tcPr>
            <w:tcW w:type="dxa" w:w="1824"/>
          </w:tcPr>
          <w:p>
            <w:r>
              <w:rPr>
                <w:rFonts w:ascii="Times New Roman" w:hAnsi="Times New Roman" w:eastAsia="맑은 고딕"/>
                <w:b w:val="0"/>
                <w:sz w:val="20"/>
              </w:rPr>
              <w:t>4.97</w:t>
            </w:r>
          </w:p>
        </w:tc>
      </w:tr>
    </w:tbl>
    <w:p>
      <w:pPr>
        <w:spacing w:line="480" w:lineRule="auto" w:before="0" w:after="120"/>
        <w:ind w:firstLine="283"/>
        <w:jc w:val="left"/>
      </w:pPr>
      <w:r>
        <w:rPr>
          <w:rFonts w:ascii="Times New Roman" w:hAnsi="Times New Roman" w:eastAsia="맑은 고딕"/>
          <w:b w:val="0"/>
          <w:sz w:val="22"/>
        </w:rPr>
        <w:t>G-Eval 결과의 핵심 발견은 두 가지이다.</w:t>
      </w:r>
    </w:p>
    <w:p>
      <w:pPr>
        <w:spacing w:line="480" w:lineRule="auto" w:before="0" w:after="120"/>
        <w:ind w:firstLine="283"/>
        <w:jc w:val="left"/>
      </w:pPr>
      <w:r>
        <w:rPr>
          <w:rFonts w:ascii="Times New Roman" w:hAnsi="Times New Roman" w:eastAsia="맑은 고딕"/>
          <w:b w:val="0"/>
          <w:sz w:val="22"/>
        </w:rPr>
        <w:t>첫째, 모든 모드에서 sensitive_leak 5.0 만점 으로 보호 속성 마스킹이 양 LLM에서 완벽하게 작동한다. 이는 본 연구의 hard constraint 정책이 차별 위험을 안정적으로 차단함을 보여준다.</w:t>
      </w:r>
    </w:p>
    <w:p>
      <w:pPr>
        <w:spacing w:line="480" w:lineRule="auto" w:before="0" w:after="120"/>
        <w:ind w:firstLine="283"/>
        <w:jc w:val="left"/>
      </w:pPr>
      <w:r>
        <w:rPr>
          <w:rFonts w:ascii="Times New Roman" w:hAnsi="Times New Roman" w:eastAsia="맑은 고딕"/>
          <w:b w:val="0"/>
          <w:sz w:val="22"/>
        </w:rPr>
        <w:t>둘째, fusion의 completeness 1위 (4.82)이다. fusion은 generic_rag(4.48), shaponly(4.10) 모두를 앞서며, 컨텍스트의 핵심 driver를 충분히 다루며 결정 사유를 명확히 전달함을 LLM judge가 인정하였다.</w:t>
      </w:r>
    </w:p>
    <w:p>
      <w:pPr>
        <w:spacing w:line="480" w:lineRule="auto" w:before="0" w:after="120"/>
        <w:ind w:firstLine="283"/>
        <w:jc w:val="left"/>
      </w:pPr>
      <w:r>
        <w:rPr>
          <w:rFonts w:ascii="Times New Roman" w:hAnsi="Times New Roman" w:eastAsia="맑은 고딕"/>
          <w:b w:val="0"/>
          <w:sz w:val="22"/>
        </w:rPr>
        <w:t>다만 factual_accuracy 차원에서는 4-mode 모두 4.83~4.95 사이의 좁은 범위로 차이가 작다. 이는 hard constraint가 변수명·수치 인용의 사실성을 강하게 강제한 결과로 해석된다.</w:t>
      </w:r>
    </w:p>
    <w:p>
      <w:pPr>
        <w:pStyle w:val="Heading3"/>
        <w:spacing w:line="480" w:lineRule="auto" w:before="240" w:after="120"/>
        <w:jc w:val="left"/>
      </w:pPr>
      <w:r>
        <w:rPr>
          <w:rFonts w:ascii="Times New Roman" w:hAnsi="Times New Roman" w:eastAsia="맑은 고딕"/>
          <w:b/>
          <w:color w:val="000000"/>
          <w:sz w:val="22"/>
        </w:rPr>
        <w:t>4.3.6 Counterfactual baseline (Step 1)</w:t>
      </w:r>
    </w:p>
    <w:p>
      <w:pPr>
        <w:spacing w:line="480" w:lineRule="auto" w:before="0" w:after="120"/>
        <w:ind w:firstLine="283"/>
        <w:jc w:val="left"/>
      </w:pPr>
      <w:r>
        <w:rPr>
          <w:rFonts w:ascii="Times New Roman" w:hAnsi="Times New Roman" w:eastAsia="맑은 고딕"/>
          <w:b w:val="0"/>
          <w:sz w:val="22"/>
        </w:rPr>
        <w:t>본 연구의 초기 단계(Step 1)에서는 hard constraint를 제거 한 no-SHAP baseline에서 환각률을 측정하였다. 그 결과 Anthropic Claude는 환각률 0%를 유지하였으나, Google Gemini는 환각률 45.5% 를 보였다. 즉 hard constraint가 없는 환경에서 Gemini는 컨텍스트에 없는 변수를 자발적으로 생성하는 경향이 강하게 나타났다.</w:t>
      </w:r>
    </w:p>
    <w:p>
      <w:pPr>
        <w:spacing w:line="480" w:lineRule="auto" w:before="0" w:after="120"/>
        <w:ind w:firstLine="283"/>
        <w:jc w:val="left"/>
      </w:pPr>
      <w:r>
        <w:rPr>
          <w:rFonts w:ascii="Times New Roman" w:hAnsi="Times New Roman" w:eastAsia="맑은 고딕"/>
          <w:b w:val="0"/>
          <w:sz w:val="22"/>
        </w:rPr>
        <w:t>이 결과는 본 연구의 "환각 0%"라는 메시지가 hard constraint에 의존 함을 명시적으로 보여준다. 따라서 본 연구는 hard constraint와 fusion 컨텍스트의 결합이 환각 차단과 fact-grounded 충실성 양 측면을 동시에 달성한다고 정직하게 보고한다.</w:t>
      </w:r>
    </w:p>
    <w:p>
      <w:pPr>
        <w:pStyle w:val="Heading2"/>
        <w:spacing w:line="480" w:lineRule="auto" w:before="360" w:after="240"/>
        <w:jc w:val="left"/>
      </w:pPr>
      <w:r>
        <w:rPr>
          <w:rFonts w:ascii="Times New Roman" w:hAnsi="Times New Roman" w:eastAsia="맑은 고딕"/>
          <w:b/>
          <w:color w:val="000000"/>
          <w:sz w:val="26"/>
        </w:rPr>
        <w:t>4.4 Persona 평가 결과</w:t>
      </w:r>
    </w:p>
    <w:p>
      <w:pPr>
        <w:spacing w:line="240" w:lineRule="auto" w:before="240" w:after="0"/>
        <w:jc w:val="center"/>
      </w:pPr>
      <w:r>
        <w:drawing>
          <wp:inline xmlns:a="http://schemas.openxmlformats.org/drawingml/2006/main" xmlns:pic="http://schemas.openxmlformats.org/drawingml/2006/picture">
            <wp:extent cx="5040000" cy="3857507"/>
            <wp:docPr id="4" name="Picture 4"/>
            <wp:cNvGraphicFramePr>
              <a:graphicFrameLocks noChangeAspect="1"/>
            </wp:cNvGraphicFramePr>
            <a:graphic>
              <a:graphicData uri="http://schemas.openxmlformats.org/drawingml/2006/picture">
                <pic:pic>
                  <pic:nvPicPr>
                    <pic:cNvPr id="0" name="32_cross_judge_geval.png"/>
                    <pic:cNvPicPr/>
                  </pic:nvPicPr>
                  <pic:blipFill>
                    <a:blip r:embed="rId12"/>
                    <a:stretch>
                      <a:fillRect/>
                    </a:stretch>
                  </pic:blipFill>
                  <pic:spPr>
                    <a:xfrm>
                      <a:off x="0" y="0"/>
                      <a:ext cx="5040000" cy="3857507"/>
                    </a:xfrm>
                    <a:prstGeom prst="rect"/>
                  </pic:spPr>
                </pic:pic>
              </a:graphicData>
            </a:graphic>
          </wp:inline>
        </w:drawing>
      </w:r>
    </w:p>
    <w:p>
      <w:pPr>
        <w:spacing w:line="480" w:lineRule="auto" w:before="0" w:after="240"/>
        <w:jc w:val="center"/>
      </w:pPr>
      <w:r>
        <w:rPr>
          <w:rFonts w:ascii="Times New Roman" w:hAnsi="Times New Roman" w:eastAsia="맑은 고딕"/>
          <w:b/>
          <w:sz w:val="20"/>
        </w:rPr>
        <w:t>그림 4-3. Cross-judge G-Eval 결과 — Anthropic judge와 Gemini judge의 4차원 평가 점수 비교</w:t>
      </w:r>
    </w:p>
    <w:p>
      <w:pPr>
        <w:pStyle w:val="Heading3"/>
        <w:spacing w:line="480" w:lineRule="auto" w:before="240" w:after="120"/>
        <w:jc w:val="left"/>
      </w:pPr>
      <w:r>
        <w:rPr>
          <w:rFonts w:ascii="Times New Roman" w:hAnsi="Times New Roman" w:eastAsia="맑은 고딕"/>
          <w:b/>
          <w:color w:val="000000"/>
          <w:sz w:val="22"/>
        </w:rPr>
        <w:t>4.4.1 페르소나별 trade-off</w:t>
      </w:r>
    </w:p>
    <w:p>
      <w:pPr>
        <w:spacing w:line="480" w:lineRule="auto" w:before="0" w:after="120"/>
        <w:ind w:firstLine="283"/>
        <w:jc w:val="left"/>
      </w:pPr>
      <w:r>
        <w:rPr>
          <w:rFonts w:ascii="Times New Roman" w:hAnsi="Times New Roman" w:eastAsia="맑은 고딕"/>
          <w:b w:val="0"/>
          <w:sz w:val="22"/>
        </w:rPr>
        <w:t>표 4-6은 본 연구의 Pilot Persona 평가 결과(15 instances × 4 modes × 2 LLM × 3 personas, 약 276건 유효 평가)에서 Customer clarity 차원의 평균 점수를 보여준다.</w:t>
      </w:r>
    </w:p>
    <w:p>
      <w:pPr>
        <w:spacing w:line="480" w:lineRule="auto" w:before="0" w:after="120"/>
        <w:ind w:firstLine="283"/>
        <w:jc w:val="left"/>
      </w:pPr>
      <w:r>
        <w:rPr>
          <w:rFonts w:ascii="Times New Roman" w:hAnsi="Times New Roman" w:eastAsia="맑은 고딕"/>
          <w:b w:val="0"/>
          <w:sz w:val="22"/>
        </w:rPr>
        <w:t>표 4-6. Persona 평가 결과 (Anthropic judge, 5점 만점)</w:t>
      </w:r>
    </w:p>
    <w:tbl>
      <w:tblPr>
        <w:tblStyle w:val="LightGrid"/>
        <w:tblW w:type="auto" w:w="0"/>
        <w:tblLook w:firstColumn="1" w:firstRow="1" w:lastColumn="0" w:lastRow="0" w:noHBand="0" w:noVBand="1" w:val="04A0"/>
      </w:tblPr>
      <w:tblGrid>
        <w:gridCol w:w="1520"/>
        <w:gridCol w:w="1520"/>
        <w:gridCol w:w="1520"/>
        <w:gridCol w:w="1520"/>
        <w:gridCol w:w="1520"/>
        <w:gridCol w:w="1520"/>
      </w:tblGrid>
      <w:tr>
        <w:tc>
          <w:tcPr>
            <w:tcW w:type="dxa" w:w="1520"/>
          </w:tcPr>
          <w:p>
            <w:r>
              <w:rPr>
                <w:rFonts w:ascii="Times New Roman" w:hAnsi="Times New Roman" w:eastAsia="맑은 고딕"/>
                <w:b/>
                <w:sz w:val="20"/>
              </w:rPr>
              <w:t>Persona</w:t>
            </w:r>
          </w:p>
        </w:tc>
        <w:tc>
          <w:tcPr>
            <w:tcW w:type="dxa" w:w="1520"/>
          </w:tcPr>
          <w:p>
            <w:r>
              <w:rPr>
                <w:rFonts w:ascii="Times New Roman" w:hAnsi="Times New Roman" w:eastAsia="맑은 고딕"/>
                <w:b/>
                <w:sz w:val="20"/>
              </w:rPr>
              <w:t>Metric</w:t>
            </w:r>
          </w:p>
        </w:tc>
        <w:tc>
          <w:tcPr>
            <w:tcW w:type="dxa" w:w="1520"/>
          </w:tcPr>
          <w:p>
            <w:r>
              <w:rPr>
                <w:rFonts w:ascii="Times New Roman" w:hAnsi="Times New Roman" w:eastAsia="맑은 고딕"/>
                <w:b/>
                <w:sz w:val="20"/>
              </w:rPr>
              <w:t>no_shap</w:t>
            </w:r>
          </w:p>
        </w:tc>
        <w:tc>
          <w:tcPr>
            <w:tcW w:type="dxa" w:w="1520"/>
          </w:tcPr>
          <w:p>
            <w:r>
              <w:rPr>
                <w:rFonts w:ascii="Times New Roman" w:hAnsi="Times New Roman" w:eastAsia="맑은 고딕"/>
                <w:b/>
                <w:sz w:val="20"/>
              </w:rPr>
              <w:t>generic_rag</w:t>
            </w:r>
          </w:p>
        </w:tc>
        <w:tc>
          <w:tcPr>
            <w:tcW w:type="dxa" w:w="1520"/>
          </w:tcPr>
          <w:p>
            <w:r>
              <w:rPr>
                <w:rFonts w:ascii="Times New Roman" w:hAnsi="Times New Roman" w:eastAsia="맑은 고딕"/>
                <w:b/>
                <w:sz w:val="20"/>
              </w:rPr>
              <w:t>shaponly</w:t>
            </w:r>
          </w:p>
        </w:tc>
        <w:tc>
          <w:tcPr>
            <w:tcW w:type="dxa" w:w="1520"/>
          </w:tcPr>
          <w:p>
            <w:r>
              <w:rPr>
                <w:rFonts w:ascii="Times New Roman" w:hAnsi="Times New Roman" w:eastAsia="맑은 고딕"/>
                <w:b/>
                <w:sz w:val="20"/>
              </w:rPr>
              <w:t>fusion</w:t>
            </w:r>
          </w:p>
        </w:tc>
      </w:tr>
      <w:tr>
        <w:tc>
          <w:tcPr>
            <w:tcW w:type="dxa" w:w="1520"/>
          </w:tcPr>
          <w:p>
            <w:r>
              <w:rPr>
                <w:rFonts w:ascii="Times New Roman" w:hAnsi="Times New Roman" w:eastAsia="맑은 고딕"/>
                <w:b w:val="0"/>
                <w:sz w:val="20"/>
              </w:rPr>
              <w:t>Credit Expert</w:t>
            </w:r>
          </w:p>
        </w:tc>
        <w:tc>
          <w:tcPr>
            <w:tcW w:type="dxa" w:w="1520"/>
          </w:tcPr>
          <w:p>
            <w:r>
              <w:rPr>
                <w:rFonts w:ascii="Times New Roman" w:hAnsi="Times New Roman" w:eastAsia="맑은 고딕"/>
                <w:b w:val="0"/>
                <w:sz w:val="20"/>
              </w:rPr>
              <w:t>trustworthiness</w:t>
            </w:r>
          </w:p>
        </w:tc>
        <w:tc>
          <w:tcPr>
            <w:tcW w:type="dxa" w:w="1520"/>
          </w:tcPr>
          <w:p>
            <w:r>
              <w:rPr>
                <w:rFonts w:ascii="Times New Roman" w:hAnsi="Times New Roman" w:eastAsia="맑은 고딕"/>
                <w:b w:val="0"/>
                <w:sz w:val="20"/>
              </w:rPr>
              <w:t>4.20</w:t>
            </w:r>
          </w:p>
        </w:tc>
        <w:tc>
          <w:tcPr>
            <w:tcW w:type="dxa" w:w="1520"/>
          </w:tcPr>
          <w:p>
            <w:r>
              <w:rPr>
                <w:rFonts w:ascii="Times New Roman" w:hAnsi="Times New Roman" w:eastAsia="맑은 고딕"/>
                <w:b w:val="0"/>
                <w:sz w:val="20"/>
              </w:rPr>
              <w:t>4.55</w:t>
            </w:r>
          </w:p>
        </w:tc>
        <w:tc>
          <w:tcPr>
            <w:tcW w:type="dxa" w:w="1520"/>
          </w:tcPr>
          <w:p>
            <w:r>
              <w:rPr>
                <w:rFonts w:ascii="Times New Roman" w:hAnsi="Times New Roman" w:eastAsia="맑은 고딕"/>
                <w:b w:val="0"/>
                <w:sz w:val="20"/>
              </w:rPr>
              <w:t>4.62</w:t>
            </w:r>
          </w:p>
        </w:tc>
        <w:tc>
          <w:tcPr>
            <w:tcW w:type="dxa" w:w="1520"/>
          </w:tcPr>
          <w:p>
            <w:r>
              <w:rPr>
                <w:rFonts w:ascii="Times New Roman" w:hAnsi="Times New Roman" w:eastAsia="맑은 고딕"/>
                <w:b w:val="0"/>
                <w:sz w:val="20"/>
              </w:rPr>
              <w:t>**4.81**</w:t>
            </w:r>
          </w:p>
        </w:tc>
      </w:tr>
      <w:tr>
        <w:tc>
          <w:tcPr>
            <w:tcW w:type="dxa" w:w="1520"/>
          </w:tcPr>
          <w:p>
            <w:r>
              <w:rPr>
                <w:rFonts w:ascii="Times New Roman" w:hAnsi="Times New Roman" w:eastAsia="맑은 고딕"/>
                <w:b w:val="0"/>
                <w:sz w:val="20"/>
              </w:rPr>
              <w:t>**Customer**</w:t>
            </w:r>
          </w:p>
        </w:tc>
        <w:tc>
          <w:tcPr>
            <w:tcW w:type="dxa" w:w="1520"/>
          </w:tcPr>
          <w:p>
            <w:r>
              <w:rPr>
                <w:rFonts w:ascii="Times New Roman" w:hAnsi="Times New Roman" w:eastAsia="맑은 고딕"/>
                <w:b w:val="0"/>
                <w:sz w:val="20"/>
              </w:rPr>
              <w:t>**clarity**</w:t>
            </w:r>
          </w:p>
        </w:tc>
        <w:tc>
          <w:tcPr>
            <w:tcW w:type="dxa" w:w="1520"/>
          </w:tcPr>
          <w:p>
            <w:r>
              <w:rPr>
                <w:rFonts w:ascii="Times New Roman" w:hAnsi="Times New Roman" w:eastAsia="맑은 고딕"/>
                <w:b w:val="0"/>
                <w:sz w:val="20"/>
              </w:rPr>
              <w:t>3.65</w:t>
            </w:r>
          </w:p>
        </w:tc>
        <w:tc>
          <w:tcPr>
            <w:tcW w:type="dxa" w:w="1520"/>
          </w:tcPr>
          <w:p>
            <w:r>
              <w:rPr>
                <w:rFonts w:ascii="Times New Roman" w:hAnsi="Times New Roman" w:eastAsia="맑은 고딕"/>
                <w:b w:val="0"/>
                <w:sz w:val="20"/>
              </w:rPr>
              <w:t>**4.93**</w:t>
            </w:r>
          </w:p>
        </w:tc>
        <w:tc>
          <w:tcPr>
            <w:tcW w:type="dxa" w:w="1520"/>
          </w:tcPr>
          <w:p>
            <w:r>
              <w:rPr>
                <w:rFonts w:ascii="Times New Roman" w:hAnsi="Times New Roman" w:eastAsia="맑은 고딕"/>
                <w:b w:val="0"/>
                <w:sz w:val="20"/>
              </w:rPr>
              <w:t>2.80</w:t>
            </w:r>
          </w:p>
        </w:tc>
        <w:tc>
          <w:tcPr>
            <w:tcW w:type="dxa" w:w="1520"/>
          </w:tcPr>
          <w:p>
            <w:r>
              <w:rPr>
                <w:rFonts w:ascii="Times New Roman" w:hAnsi="Times New Roman" w:eastAsia="맑은 고딕"/>
                <w:b w:val="0"/>
                <w:sz w:val="20"/>
              </w:rPr>
              <w:t>2.67</w:t>
            </w:r>
          </w:p>
        </w:tc>
      </w:tr>
      <w:tr>
        <w:tc>
          <w:tcPr>
            <w:tcW w:type="dxa" w:w="1520"/>
          </w:tcPr>
          <w:p>
            <w:r>
              <w:rPr>
                <w:rFonts w:ascii="Times New Roman" w:hAnsi="Times New Roman" w:eastAsia="맑은 고딕"/>
                <w:b w:val="0"/>
                <w:sz w:val="20"/>
              </w:rPr>
              <w:t>Customer</w:t>
            </w:r>
          </w:p>
        </w:tc>
        <w:tc>
          <w:tcPr>
            <w:tcW w:type="dxa" w:w="1520"/>
          </w:tcPr>
          <w:p>
            <w:r>
              <w:rPr>
                <w:rFonts w:ascii="Times New Roman" w:hAnsi="Times New Roman" w:eastAsia="맑은 고딕"/>
                <w:b w:val="0"/>
                <w:sz w:val="20"/>
              </w:rPr>
              <w:t>actionability</w:t>
            </w:r>
          </w:p>
        </w:tc>
        <w:tc>
          <w:tcPr>
            <w:tcW w:type="dxa" w:w="1520"/>
          </w:tcPr>
          <w:p>
            <w:r>
              <w:rPr>
                <w:rFonts w:ascii="Times New Roman" w:hAnsi="Times New Roman" w:eastAsia="맑은 고딕"/>
                <w:b w:val="0"/>
                <w:sz w:val="20"/>
              </w:rPr>
              <w:t>4.10</w:t>
            </w:r>
          </w:p>
        </w:tc>
        <w:tc>
          <w:tcPr>
            <w:tcW w:type="dxa" w:w="1520"/>
          </w:tcPr>
          <w:p>
            <w:r>
              <w:rPr>
                <w:rFonts w:ascii="Times New Roman" w:hAnsi="Times New Roman" w:eastAsia="맑은 고딕"/>
                <w:b w:val="0"/>
                <w:sz w:val="20"/>
              </w:rPr>
              <w:t>4.55</w:t>
            </w:r>
          </w:p>
        </w:tc>
        <w:tc>
          <w:tcPr>
            <w:tcW w:type="dxa" w:w="1520"/>
          </w:tcPr>
          <w:p>
            <w:r>
              <w:rPr>
                <w:rFonts w:ascii="Times New Roman" w:hAnsi="Times New Roman" w:eastAsia="맑은 고딕"/>
                <w:b w:val="0"/>
                <w:sz w:val="20"/>
              </w:rPr>
              <w:t>3.80</w:t>
            </w:r>
          </w:p>
        </w:tc>
        <w:tc>
          <w:tcPr>
            <w:tcW w:type="dxa" w:w="1520"/>
          </w:tcPr>
          <w:p>
            <w:r>
              <w:rPr>
                <w:rFonts w:ascii="Times New Roman" w:hAnsi="Times New Roman" w:eastAsia="맑은 고딕"/>
                <w:b w:val="0"/>
                <w:sz w:val="20"/>
              </w:rPr>
              <w:t>3.95</w:t>
            </w:r>
          </w:p>
        </w:tc>
      </w:tr>
      <w:tr>
        <w:tc>
          <w:tcPr>
            <w:tcW w:type="dxa" w:w="1520"/>
          </w:tcPr>
          <w:p>
            <w:r>
              <w:rPr>
                <w:rFonts w:ascii="Times New Roman" w:hAnsi="Times New Roman" w:eastAsia="맑은 고딕"/>
                <w:b w:val="0"/>
                <w:sz w:val="20"/>
              </w:rPr>
              <w:t>Regulator</w:t>
            </w:r>
          </w:p>
        </w:tc>
        <w:tc>
          <w:tcPr>
            <w:tcW w:type="dxa" w:w="1520"/>
          </w:tcPr>
          <w:p>
            <w:r>
              <w:rPr>
                <w:rFonts w:ascii="Times New Roman" w:hAnsi="Times New Roman" w:eastAsia="맑은 고딕"/>
                <w:b w:val="0"/>
                <w:sz w:val="20"/>
              </w:rPr>
              <w:t>trustworthiness</w:t>
            </w:r>
          </w:p>
        </w:tc>
        <w:tc>
          <w:tcPr>
            <w:tcW w:type="dxa" w:w="1520"/>
          </w:tcPr>
          <w:p>
            <w:r>
              <w:rPr>
                <w:rFonts w:ascii="Times New Roman" w:hAnsi="Times New Roman" w:eastAsia="맑은 고딕"/>
                <w:b w:val="0"/>
                <w:sz w:val="20"/>
              </w:rPr>
              <w:t>4.05</w:t>
            </w:r>
          </w:p>
        </w:tc>
        <w:tc>
          <w:tcPr>
            <w:tcW w:type="dxa" w:w="1520"/>
          </w:tcPr>
          <w:p>
            <w:r>
              <w:rPr>
                <w:rFonts w:ascii="Times New Roman" w:hAnsi="Times New Roman" w:eastAsia="맑은 고딕"/>
                <w:b w:val="0"/>
                <w:sz w:val="20"/>
              </w:rPr>
              <w:t>4.40</w:t>
            </w:r>
          </w:p>
        </w:tc>
        <w:tc>
          <w:tcPr>
            <w:tcW w:type="dxa" w:w="1520"/>
          </w:tcPr>
          <w:p>
            <w:r>
              <w:rPr>
                <w:rFonts w:ascii="Times New Roman" w:hAnsi="Times New Roman" w:eastAsia="맑은 고딕"/>
                <w:b w:val="0"/>
                <w:sz w:val="20"/>
              </w:rPr>
              <w:t>4.55</w:t>
            </w:r>
          </w:p>
        </w:tc>
        <w:tc>
          <w:tcPr>
            <w:tcW w:type="dxa" w:w="1520"/>
          </w:tcPr>
          <w:p>
            <w:r>
              <w:rPr>
                <w:rFonts w:ascii="Times New Roman" w:hAnsi="Times New Roman" w:eastAsia="맑은 고딕"/>
                <w:b w:val="0"/>
                <w:sz w:val="20"/>
              </w:rPr>
              <w:t>**4.75**</w:t>
            </w:r>
          </w:p>
        </w:tc>
      </w:tr>
    </w:tbl>
    <w:p>
      <w:pPr>
        <w:spacing w:line="480" w:lineRule="auto" w:before="0" w:after="120"/>
        <w:ind w:firstLine="283"/>
        <w:jc w:val="left"/>
      </w:pPr>
      <w:r>
        <w:rPr>
          <w:rFonts w:ascii="Times New Roman" w:hAnsi="Times New Roman" w:eastAsia="맑은 고딕"/>
          <w:b w:val="0"/>
          <w:sz w:val="22"/>
        </w:rPr>
        <w:t>본 결과의 핵심 발견은 다음과 같다.</w:t>
      </w:r>
    </w:p>
    <w:p>
      <w:pPr>
        <w:spacing w:line="480" w:lineRule="auto" w:before="0" w:after="120"/>
        <w:ind w:firstLine="283"/>
        <w:jc w:val="left"/>
      </w:pPr>
      <w:r>
        <w:rPr>
          <w:rFonts w:ascii="Times New Roman" w:hAnsi="Times New Roman" w:eastAsia="맑은 고딕"/>
          <w:b w:val="0"/>
          <w:sz w:val="22"/>
        </w:rPr>
        <w:t>첫째, 사실성과 친화성의 명확한 trade-off이다. Credit Expert 페르소나의 trustworthiness는 fusion이 4.81로 1위를 차지하나, Customer 페르소나의 clarity는 fusion이 2.67로 최하위 를 차지한다. 즉 같은 fusion 설명이 전문가에게는 가장 신뢰할 만하지만 일반 고객에게는 가장 이해하기 어렵게 평가된다.</w:t>
      </w:r>
    </w:p>
    <w:p>
      <w:pPr>
        <w:spacing w:line="480" w:lineRule="auto" w:before="0" w:after="120"/>
        <w:ind w:firstLine="283"/>
        <w:jc w:val="left"/>
      </w:pPr>
      <w:r>
        <w:rPr>
          <w:rFonts w:ascii="Times New Roman" w:hAnsi="Times New Roman" w:eastAsia="맑은 고딕"/>
          <w:b w:val="0"/>
          <w:sz w:val="22"/>
        </w:rPr>
        <w:t>둘째, generic_rag의 customer clarity 1위 (4.93)이다. Customer 페르소나는 일반 도메인 지식 chunks와 raw 변수만으로 구성된 generic_rag를 가장 명료하다고 평가하였다. 이는 SHAP 부호와 agreement 라벨 등 기술적 표현 이 일반 고객에게는 오히려 이해 장벽이 됨을 시사한다.</w:t>
      </w:r>
    </w:p>
    <w:p>
      <w:pPr>
        <w:spacing w:line="480" w:lineRule="auto" w:before="0" w:after="120"/>
        <w:ind w:firstLine="283"/>
        <w:jc w:val="left"/>
      </w:pPr>
      <w:r>
        <w:rPr>
          <w:rFonts w:ascii="Times New Roman" w:hAnsi="Times New Roman" w:eastAsia="맑은 고딕"/>
          <w:b w:val="0"/>
          <w:sz w:val="22"/>
        </w:rPr>
        <w:t>셋째, 응용 시나리오별 모드 선택 가이드이다. fusion은 audit/regulation 환경(Credit Expert + Regulator의 trustworthiness 4.81, 4.75)에서 가장 적합하며, generic_rag는 customer-facing 환경(Customer clarity 4.93)에서 가장 적합하다.</w:t>
      </w:r>
    </w:p>
    <w:p>
      <w:pPr>
        <w:spacing w:line="480" w:lineRule="auto" w:before="0" w:after="120"/>
        <w:ind w:firstLine="283"/>
        <w:jc w:val="left"/>
      </w:pPr>
      <w:r>
        <w:rPr>
          <w:rFonts w:ascii="Times New Roman" w:hAnsi="Times New Roman" w:eastAsia="맑은 고딕"/>
          <w:b w:val="0"/>
          <w:sz w:val="22"/>
        </w:rPr>
        <w:t>이러한 trade-off는 본 연구의 핵심 메시지를 "fusion이 모든 차원에서 1위" 가 아니라 "응용 시나리오에 따른 mode 선택 trade-off" 로 정교화하는 근거가 된다.</w:t>
      </w:r>
    </w:p>
    <w:p>
      <w:pPr>
        <w:spacing w:line="240" w:lineRule="auto" w:before="240" w:after="0"/>
        <w:jc w:val="center"/>
      </w:pPr>
      <w:r>
        <w:drawing>
          <wp:inline xmlns:a="http://schemas.openxmlformats.org/drawingml/2006/main" xmlns:pic="http://schemas.openxmlformats.org/drawingml/2006/picture">
            <wp:extent cx="5040000" cy="4445160"/>
            <wp:docPr id="5" name="Picture 5"/>
            <wp:cNvGraphicFramePr>
              <a:graphicFrameLocks noChangeAspect="1"/>
            </wp:cNvGraphicFramePr>
            <a:graphic>
              <a:graphicData uri="http://schemas.openxmlformats.org/drawingml/2006/picture">
                <pic:pic>
                  <pic:nvPicPr>
                    <pic:cNvPr id="0" name="36_human_proxy_personas.png"/>
                    <pic:cNvPicPr/>
                  </pic:nvPicPr>
                  <pic:blipFill>
                    <a:blip r:embed="rId13"/>
                    <a:stretch>
                      <a:fillRect/>
                    </a:stretch>
                  </pic:blipFill>
                  <pic:spPr>
                    <a:xfrm>
                      <a:off x="0" y="0"/>
                      <a:ext cx="5040000" cy="4445160"/>
                    </a:xfrm>
                    <a:prstGeom prst="rect"/>
                  </pic:spPr>
                </pic:pic>
              </a:graphicData>
            </a:graphic>
          </wp:inline>
        </w:drawing>
      </w:r>
    </w:p>
    <w:p>
      <w:pPr>
        <w:spacing w:line="480" w:lineRule="auto" w:before="0" w:after="240"/>
        <w:jc w:val="center"/>
      </w:pPr>
      <w:r>
        <w:rPr>
          <w:rFonts w:ascii="Times New Roman" w:hAnsi="Times New Roman" w:eastAsia="맑은 고딕"/>
          <w:b/>
          <w:sz w:val="20"/>
        </w:rPr>
        <w:t>그림 4-4. 3-Persona 평가 결과 — Credit Expert / Customer / Regulator 관점별 4-mode 비교 (5점 만점)</w:t>
      </w:r>
    </w:p>
    <w:p>
      <w:pPr>
        <w:pStyle w:val="Heading2"/>
        <w:spacing w:line="480" w:lineRule="auto" w:before="360" w:after="240"/>
        <w:jc w:val="left"/>
      </w:pPr>
      <w:r>
        <w:rPr>
          <w:rFonts w:ascii="Times New Roman" w:hAnsi="Times New Roman" w:eastAsia="맑은 고딕"/>
          <w:b/>
          <w:color w:val="000000"/>
          <w:sz w:val="26"/>
        </w:rPr>
        <w:t>4.5 공정성 mitigation 결과</w:t>
      </w:r>
    </w:p>
    <w:p>
      <w:pPr>
        <w:pStyle w:val="Heading3"/>
        <w:spacing w:line="480" w:lineRule="auto" w:before="240" w:after="120"/>
        <w:jc w:val="left"/>
      </w:pPr>
      <w:r>
        <w:rPr>
          <w:rFonts w:ascii="Times New Roman" w:hAnsi="Times New Roman" w:eastAsia="맑은 고딕"/>
          <w:b/>
          <w:color w:val="000000"/>
          <w:sz w:val="22"/>
        </w:rPr>
        <w:t>4.5.1 Reweighing 4/4 통과</w:t>
      </w:r>
    </w:p>
    <w:p>
      <w:pPr>
        <w:spacing w:line="480" w:lineRule="auto" w:before="0" w:after="120"/>
        <w:ind w:firstLine="283"/>
        <w:jc w:val="left"/>
      </w:pPr>
      <w:r>
        <w:rPr>
          <w:rFonts w:ascii="Times New Roman" w:hAnsi="Times New Roman" w:eastAsia="맑은 고딕"/>
          <w:b w:val="0"/>
          <w:sz w:val="22"/>
        </w:rPr>
        <w:t>표 4-7은 본 연구의 Reweighing 기반 공정성 보정 결과를 보여준다. 보호 속성(GENDER, AGE) × 데이터셋(baseline, aux)의 4가지 조합에 대한 결과이다.</w:t>
      </w:r>
    </w:p>
    <w:p>
      <w:pPr>
        <w:spacing w:line="480" w:lineRule="auto" w:before="0" w:after="120"/>
        <w:ind w:firstLine="283"/>
        <w:jc w:val="left"/>
      </w:pPr>
      <w:r>
        <w:rPr>
          <w:rFonts w:ascii="Times New Roman" w:hAnsi="Times New Roman" w:eastAsia="맑은 고딕"/>
          <w:b w:val="0"/>
          <w:sz w:val="22"/>
        </w:rPr>
        <w:t>표 4-7. Reweighing 공정성 보정 결과 (Home Credit)</w:t>
      </w:r>
    </w:p>
    <w:tbl>
      <w:tblPr>
        <w:tblStyle w:val="LightGrid"/>
        <w:tblW w:type="auto" w:w="0"/>
        <w:tblLook w:firstColumn="1" w:firstRow="1" w:lastColumn="0" w:lastRow="0" w:noHBand="0" w:noVBand="1" w:val="04A0"/>
      </w:tblPr>
      <w:tblGrid>
        <w:gridCol w:w="1520"/>
        <w:gridCol w:w="1520"/>
        <w:gridCol w:w="1520"/>
        <w:gridCol w:w="1520"/>
        <w:gridCol w:w="1520"/>
        <w:gridCol w:w="1520"/>
      </w:tblGrid>
      <w:tr>
        <w:tc>
          <w:tcPr>
            <w:tcW w:type="dxa" w:w="1520"/>
          </w:tcPr>
          <w:p>
            <w:r>
              <w:rPr>
                <w:rFonts w:ascii="Times New Roman" w:hAnsi="Times New Roman" w:eastAsia="맑은 고딕"/>
                <w:b/>
                <w:sz w:val="20"/>
              </w:rPr>
              <w:t>데이터</w:t>
            </w:r>
          </w:p>
        </w:tc>
        <w:tc>
          <w:tcPr>
            <w:tcW w:type="dxa" w:w="1520"/>
          </w:tcPr>
          <w:p>
            <w:r>
              <w:rPr>
                <w:rFonts w:ascii="Times New Roman" w:hAnsi="Times New Roman" w:eastAsia="맑은 고딕"/>
                <w:b/>
                <w:sz w:val="20"/>
              </w:rPr>
              <w:t>보호 속성</w:t>
            </w:r>
          </w:p>
        </w:tc>
        <w:tc>
          <w:tcPr>
            <w:tcW w:type="dxa" w:w="1520"/>
          </w:tcPr>
          <w:p>
            <w:r>
              <w:rPr>
                <w:rFonts w:ascii="Times New Roman" w:hAnsi="Times New Roman" w:eastAsia="맑은 고딕"/>
                <w:b/>
                <w:sz w:val="20"/>
              </w:rPr>
              <w:t>방법</w:t>
            </w:r>
          </w:p>
        </w:tc>
        <w:tc>
          <w:tcPr>
            <w:tcW w:type="dxa" w:w="1520"/>
          </w:tcPr>
          <w:p>
            <w:r>
              <w:rPr>
                <w:rFonts w:ascii="Times New Roman" w:hAnsi="Times New Roman" w:eastAsia="맑은 고딕"/>
                <w:b/>
                <w:sz w:val="20"/>
              </w:rPr>
              <w:t>AUROC</w:t>
            </w:r>
          </w:p>
        </w:tc>
        <w:tc>
          <w:tcPr>
            <w:tcW w:type="dxa" w:w="1520"/>
          </w:tcPr>
          <w:p>
            <w:r>
              <w:rPr>
                <w:rFonts w:ascii="Times New Roman" w:hAnsi="Times New Roman" w:eastAsia="맑은 고딕"/>
                <w:b/>
                <w:sz w:val="20"/>
              </w:rPr>
              <w:t>DI ratio</w:t>
            </w:r>
          </w:p>
        </w:tc>
        <w:tc>
          <w:tcPr>
            <w:tcW w:type="dxa" w:w="1520"/>
          </w:tcPr>
          <w:p>
            <w:r>
              <w:rPr>
                <w:rFonts w:ascii="Times New Roman" w:hAnsi="Times New Roman" w:eastAsia="맑은 고딕"/>
                <w:b/>
                <w:sz w:val="20"/>
              </w:rPr>
              <w:t>4/5 통과</w:t>
            </w:r>
          </w:p>
        </w:tc>
      </w:tr>
      <w:tr>
        <w:tc>
          <w:tcPr>
            <w:tcW w:type="dxa" w:w="1520"/>
          </w:tcPr>
          <w:p>
            <w:r>
              <w:rPr>
                <w:rFonts w:ascii="Times New Roman" w:hAnsi="Times New Roman" w:eastAsia="맑은 고딕"/>
                <w:b w:val="0"/>
                <w:sz w:val="20"/>
              </w:rPr>
              <w:t>baseline</w:t>
            </w:r>
          </w:p>
        </w:tc>
        <w:tc>
          <w:tcPr>
            <w:tcW w:type="dxa" w:w="1520"/>
          </w:tcPr>
          <w:p>
            <w:r>
              <w:rPr>
                <w:rFonts w:ascii="Times New Roman" w:hAnsi="Times New Roman" w:eastAsia="맑은 고딕"/>
                <w:b w:val="0"/>
                <w:sz w:val="20"/>
              </w:rPr>
              <w:t>GENDER</w:t>
            </w:r>
          </w:p>
        </w:tc>
        <w:tc>
          <w:tcPr>
            <w:tcW w:type="dxa" w:w="1520"/>
          </w:tcPr>
          <w:p>
            <w:r>
              <w:rPr>
                <w:rFonts w:ascii="Times New Roman" w:hAnsi="Times New Roman" w:eastAsia="맑은 고딕"/>
                <w:b w:val="0"/>
                <w:sz w:val="20"/>
              </w:rPr>
              <w:t>baseline</w:t>
            </w:r>
          </w:p>
        </w:tc>
        <w:tc>
          <w:tcPr>
            <w:tcW w:type="dxa" w:w="1520"/>
          </w:tcPr>
          <w:p>
            <w:r>
              <w:rPr>
                <w:rFonts w:ascii="Times New Roman" w:hAnsi="Times New Roman" w:eastAsia="맑은 고딕"/>
                <w:b w:val="0"/>
                <w:sz w:val="20"/>
              </w:rPr>
              <w:t>0.7605</w:t>
            </w:r>
          </w:p>
        </w:tc>
        <w:tc>
          <w:tcPr>
            <w:tcW w:type="dxa" w:w="1520"/>
          </w:tcPr>
          <w:p>
            <w:r>
              <w:rPr>
                <w:rFonts w:ascii="Times New Roman" w:hAnsi="Times New Roman" w:eastAsia="맑은 고딕"/>
                <w:b w:val="0"/>
                <w:sz w:val="20"/>
              </w:rPr>
              <w:t>0.622</w:t>
            </w:r>
          </w:p>
        </w:tc>
        <w:tc>
          <w:tcPr>
            <w:tcW w:type="dxa" w:w="1520"/>
          </w:tcPr>
          <w:p>
            <w:r>
              <w:rPr>
                <w:rFonts w:ascii="Times New Roman" w:hAnsi="Times New Roman" w:eastAsia="맑은 고딕"/>
                <w:b w:val="0"/>
                <w:sz w:val="20"/>
              </w:rPr>
              <w:t>✗</w:t>
            </w:r>
          </w:p>
        </w:tc>
      </w:tr>
      <w:tr>
        <w:tc>
          <w:tcPr>
            <w:tcW w:type="dxa" w:w="1520"/>
          </w:tcPr>
          <w:p>
            <w:r>
              <w:rPr>
                <w:rFonts w:ascii="Times New Roman" w:hAnsi="Times New Roman" w:eastAsia="맑은 고딕"/>
                <w:b w:val="0"/>
                <w:sz w:val="20"/>
              </w:rPr>
              <w:t>baseline</w:t>
            </w:r>
          </w:p>
        </w:tc>
        <w:tc>
          <w:tcPr>
            <w:tcW w:type="dxa" w:w="1520"/>
          </w:tcPr>
          <w:p>
            <w:r>
              <w:rPr>
                <w:rFonts w:ascii="Times New Roman" w:hAnsi="Times New Roman" w:eastAsia="맑은 고딕"/>
                <w:b w:val="0"/>
                <w:sz w:val="20"/>
              </w:rPr>
              <w:t>GENDER</w:t>
            </w:r>
          </w:p>
        </w:tc>
        <w:tc>
          <w:tcPr>
            <w:tcW w:type="dxa" w:w="1520"/>
          </w:tcPr>
          <w:p>
            <w:r>
              <w:rPr>
                <w:rFonts w:ascii="Times New Roman" w:hAnsi="Times New Roman" w:eastAsia="맑은 고딕"/>
                <w:b w:val="0"/>
                <w:sz w:val="20"/>
              </w:rPr>
              <w:t>**Reweighing**</w:t>
            </w:r>
          </w:p>
        </w:tc>
        <w:tc>
          <w:tcPr>
            <w:tcW w:type="dxa" w:w="1520"/>
          </w:tcPr>
          <w:p>
            <w:r>
              <w:rPr>
                <w:rFonts w:ascii="Times New Roman" w:hAnsi="Times New Roman" w:eastAsia="맑은 고딕"/>
                <w:b w:val="0"/>
                <w:sz w:val="20"/>
              </w:rPr>
              <w:t>0.7581 (-0.003)</w:t>
            </w:r>
          </w:p>
        </w:tc>
        <w:tc>
          <w:tcPr>
            <w:tcW w:type="dxa" w:w="1520"/>
          </w:tcPr>
          <w:p>
            <w:r>
              <w:rPr>
                <w:rFonts w:ascii="Times New Roman" w:hAnsi="Times New Roman" w:eastAsia="맑은 고딕"/>
                <w:b w:val="0"/>
                <w:sz w:val="20"/>
              </w:rPr>
              <w:t>**0.902**</w:t>
            </w:r>
          </w:p>
        </w:tc>
        <w:tc>
          <w:tcPr>
            <w:tcW w:type="dxa" w:w="1520"/>
          </w:tcPr>
          <w:p>
            <w:r>
              <w:rPr>
                <w:rFonts w:ascii="Times New Roman" w:hAnsi="Times New Roman" w:eastAsia="맑은 고딕"/>
                <w:b w:val="0"/>
                <w:sz w:val="20"/>
              </w:rPr>
              <w:t>**✓**</w:t>
            </w:r>
          </w:p>
        </w:tc>
      </w:tr>
      <w:tr>
        <w:tc>
          <w:tcPr>
            <w:tcW w:type="dxa" w:w="1520"/>
          </w:tcPr>
          <w:p>
            <w:r>
              <w:rPr>
                <w:rFonts w:ascii="Times New Roman" w:hAnsi="Times New Roman" w:eastAsia="맑은 고딕"/>
                <w:b w:val="0"/>
                <w:sz w:val="20"/>
              </w:rPr>
              <w:t>baseline</w:t>
            </w:r>
          </w:p>
        </w:tc>
        <w:tc>
          <w:tcPr>
            <w:tcW w:type="dxa" w:w="1520"/>
          </w:tcPr>
          <w:p>
            <w:r>
              <w:rPr>
                <w:rFonts w:ascii="Times New Roman" w:hAnsi="Times New Roman" w:eastAsia="맑은 고딕"/>
                <w:b w:val="0"/>
                <w:sz w:val="20"/>
              </w:rPr>
              <w:t>AGE</w:t>
            </w:r>
          </w:p>
        </w:tc>
        <w:tc>
          <w:tcPr>
            <w:tcW w:type="dxa" w:w="1520"/>
          </w:tcPr>
          <w:p>
            <w:r>
              <w:rPr>
                <w:rFonts w:ascii="Times New Roman" w:hAnsi="Times New Roman" w:eastAsia="맑은 고딕"/>
                <w:b w:val="0"/>
                <w:sz w:val="20"/>
              </w:rPr>
              <w:t>baseline</w:t>
            </w:r>
          </w:p>
        </w:tc>
        <w:tc>
          <w:tcPr>
            <w:tcW w:type="dxa" w:w="1520"/>
          </w:tcPr>
          <w:p>
            <w:r>
              <w:rPr>
                <w:rFonts w:ascii="Times New Roman" w:hAnsi="Times New Roman" w:eastAsia="맑은 고딕"/>
                <w:b w:val="0"/>
                <w:sz w:val="20"/>
              </w:rPr>
              <w:t>0.7605</w:t>
            </w:r>
          </w:p>
        </w:tc>
        <w:tc>
          <w:tcPr>
            <w:tcW w:type="dxa" w:w="1520"/>
          </w:tcPr>
          <w:p>
            <w:r>
              <w:rPr>
                <w:rFonts w:ascii="Times New Roman" w:hAnsi="Times New Roman" w:eastAsia="맑은 고딕"/>
                <w:b w:val="0"/>
                <w:sz w:val="20"/>
              </w:rPr>
              <w:t>0.557</w:t>
            </w:r>
          </w:p>
        </w:tc>
        <w:tc>
          <w:tcPr>
            <w:tcW w:type="dxa" w:w="1520"/>
          </w:tcPr>
          <w:p>
            <w:r>
              <w:rPr>
                <w:rFonts w:ascii="Times New Roman" w:hAnsi="Times New Roman" w:eastAsia="맑은 고딕"/>
                <w:b w:val="0"/>
                <w:sz w:val="20"/>
              </w:rPr>
              <w:t>✗</w:t>
            </w:r>
          </w:p>
        </w:tc>
      </w:tr>
      <w:tr>
        <w:tc>
          <w:tcPr>
            <w:tcW w:type="dxa" w:w="1520"/>
          </w:tcPr>
          <w:p>
            <w:r>
              <w:rPr>
                <w:rFonts w:ascii="Times New Roman" w:hAnsi="Times New Roman" w:eastAsia="맑은 고딕"/>
                <w:b w:val="0"/>
                <w:sz w:val="20"/>
              </w:rPr>
              <w:t>baseline</w:t>
            </w:r>
          </w:p>
        </w:tc>
        <w:tc>
          <w:tcPr>
            <w:tcW w:type="dxa" w:w="1520"/>
          </w:tcPr>
          <w:p>
            <w:r>
              <w:rPr>
                <w:rFonts w:ascii="Times New Roman" w:hAnsi="Times New Roman" w:eastAsia="맑은 고딕"/>
                <w:b w:val="0"/>
                <w:sz w:val="20"/>
              </w:rPr>
              <w:t>AGE</w:t>
            </w:r>
          </w:p>
        </w:tc>
        <w:tc>
          <w:tcPr>
            <w:tcW w:type="dxa" w:w="1520"/>
          </w:tcPr>
          <w:p>
            <w:r>
              <w:rPr>
                <w:rFonts w:ascii="Times New Roman" w:hAnsi="Times New Roman" w:eastAsia="맑은 고딕"/>
                <w:b w:val="0"/>
                <w:sz w:val="20"/>
              </w:rPr>
              <w:t>**Reweighing**</w:t>
            </w:r>
          </w:p>
        </w:tc>
        <w:tc>
          <w:tcPr>
            <w:tcW w:type="dxa" w:w="1520"/>
          </w:tcPr>
          <w:p>
            <w:r>
              <w:rPr>
                <w:rFonts w:ascii="Times New Roman" w:hAnsi="Times New Roman" w:eastAsia="맑은 고딕"/>
                <w:b w:val="0"/>
                <w:sz w:val="20"/>
              </w:rPr>
              <w:t>0.7567 (-0.004)</w:t>
            </w:r>
          </w:p>
        </w:tc>
        <w:tc>
          <w:tcPr>
            <w:tcW w:type="dxa" w:w="1520"/>
          </w:tcPr>
          <w:p>
            <w:r>
              <w:rPr>
                <w:rFonts w:ascii="Times New Roman" w:hAnsi="Times New Roman" w:eastAsia="맑은 고딕"/>
                <w:b w:val="0"/>
                <w:sz w:val="20"/>
              </w:rPr>
              <w:t>**0.901**</w:t>
            </w:r>
          </w:p>
        </w:tc>
        <w:tc>
          <w:tcPr>
            <w:tcW w:type="dxa" w:w="1520"/>
          </w:tcPr>
          <w:p>
            <w:r>
              <w:rPr>
                <w:rFonts w:ascii="Times New Roman" w:hAnsi="Times New Roman" w:eastAsia="맑은 고딕"/>
                <w:b w:val="0"/>
                <w:sz w:val="20"/>
              </w:rPr>
              <w:t>**✓**</w:t>
            </w:r>
          </w:p>
        </w:tc>
      </w:tr>
      <w:tr>
        <w:tc>
          <w:tcPr>
            <w:tcW w:type="dxa" w:w="1520"/>
          </w:tcPr>
          <w:p>
            <w:r>
              <w:rPr>
                <w:rFonts w:ascii="Times New Roman" w:hAnsi="Times New Roman" w:eastAsia="맑은 고딕"/>
                <w:b w:val="0"/>
                <w:sz w:val="20"/>
              </w:rPr>
              <w:t>aux</w:t>
            </w:r>
          </w:p>
        </w:tc>
        <w:tc>
          <w:tcPr>
            <w:tcW w:type="dxa" w:w="1520"/>
          </w:tcPr>
          <w:p>
            <w:r>
              <w:rPr>
                <w:rFonts w:ascii="Times New Roman" w:hAnsi="Times New Roman" w:eastAsia="맑은 고딕"/>
                <w:b w:val="0"/>
                <w:sz w:val="20"/>
              </w:rPr>
              <w:t>GENDER</w:t>
            </w:r>
          </w:p>
        </w:tc>
        <w:tc>
          <w:tcPr>
            <w:tcW w:type="dxa" w:w="1520"/>
          </w:tcPr>
          <w:p>
            <w:r>
              <w:rPr>
                <w:rFonts w:ascii="Times New Roman" w:hAnsi="Times New Roman" w:eastAsia="맑은 고딕"/>
                <w:b w:val="0"/>
                <w:sz w:val="20"/>
              </w:rPr>
              <w:t>baseline</w:t>
            </w:r>
          </w:p>
        </w:tc>
        <w:tc>
          <w:tcPr>
            <w:tcW w:type="dxa" w:w="1520"/>
          </w:tcPr>
          <w:p>
            <w:r>
              <w:rPr>
                <w:rFonts w:ascii="Times New Roman" w:hAnsi="Times New Roman" w:eastAsia="맑은 고딕"/>
                <w:b w:val="0"/>
                <w:sz w:val="20"/>
              </w:rPr>
              <w:t>0.7739</w:t>
            </w:r>
          </w:p>
        </w:tc>
        <w:tc>
          <w:tcPr>
            <w:tcW w:type="dxa" w:w="1520"/>
          </w:tcPr>
          <w:p>
            <w:r>
              <w:rPr>
                <w:rFonts w:ascii="Times New Roman" w:hAnsi="Times New Roman" w:eastAsia="맑은 고딕"/>
                <w:b w:val="0"/>
                <w:sz w:val="20"/>
              </w:rPr>
              <w:t>0.643</w:t>
            </w:r>
          </w:p>
        </w:tc>
        <w:tc>
          <w:tcPr>
            <w:tcW w:type="dxa" w:w="1520"/>
          </w:tcPr>
          <w:p>
            <w:r>
              <w:rPr>
                <w:rFonts w:ascii="Times New Roman" w:hAnsi="Times New Roman" w:eastAsia="맑은 고딕"/>
                <w:b w:val="0"/>
                <w:sz w:val="20"/>
              </w:rPr>
              <w:t>✗</w:t>
            </w:r>
          </w:p>
        </w:tc>
      </w:tr>
      <w:tr>
        <w:tc>
          <w:tcPr>
            <w:tcW w:type="dxa" w:w="1520"/>
          </w:tcPr>
          <w:p>
            <w:r>
              <w:rPr>
                <w:rFonts w:ascii="Times New Roman" w:hAnsi="Times New Roman" w:eastAsia="맑은 고딕"/>
                <w:b w:val="0"/>
                <w:sz w:val="20"/>
              </w:rPr>
              <w:t>aux</w:t>
            </w:r>
          </w:p>
        </w:tc>
        <w:tc>
          <w:tcPr>
            <w:tcW w:type="dxa" w:w="1520"/>
          </w:tcPr>
          <w:p>
            <w:r>
              <w:rPr>
                <w:rFonts w:ascii="Times New Roman" w:hAnsi="Times New Roman" w:eastAsia="맑은 고딕"/>
                <w:b w:val="0"/>
                <w:sz w:val="20"/>
              </w:rPr>
              <w:t>GENDER</w:t>
            </w:r>
          </w:p>
        </w:tc>
        <w:tc>
          <w:tcPr>
            <w:tcW w:type="dxa" w:w="1520"/>
          </w:tcPr>
          <w:p>
            <w:r>
              <w:rPr>
                <w:rFonts w:ascii="Times New Roman" w:hAnsi="Times New Roman" w:eastAsia="맑은 고딕"/>
                <w:b w:val="0"/>
                <w:sz w:val="20"/>
              </w:rPr>
              <w:t>**Reweighing**</w:t>
            </w:r>
          </w:p>
        </w:tc>
        <w:tc>
          <w:tcPr>
            <w:tcW w:type="dxa" w:w="1520"/>
          </w:tcPr>
          <w:p>
            <w:r>
              <w:rPr>
                <w:rFonts w:ascii="Times New Roman" w:hAnsi="Times New Roman" w:eastAsia="맑은 고딕"/>
                <w:b w:val="0"/>
                <w:sz w:val="20"/>
              </w:rPr>
              <w:t>0.7767 (+0.003)</w:t>
            </w:r>
          </w:p>
        </w:tc>
        <w:tc>
          <w:tcPr>
            <w:tcW w:type="dxa" w:w="1520"/>
          </w:tcPr>
          <w:p>
            <w:r>
              <w:rPr>
                <w:rFonts w:ascii="Times New Roman" w:hAnsi="Times New Roman" w:eastAsia="맑은 고딕"/>
                <w:b w:val="0"/>
                <w:sz w:val="20"/>
              </w:rPr>
              <w:t>**0.867**</w:t>
            </w:r>
          </w:p>
        </w:tc>
        <w:tc>
          <w:tcPr>
            <w:tcW w:type="dxa" w:w="1520"/>
          </w:tcPr>
          <w:p>
            <w:r>
              <w:rPr>
                <w:rFonts w:ascii="Times New Roman" w:hAnsi="Times New Roman" w:eastAsia="맑은 고딕"/>
                <w:b w:val="0"/>
                <w:sz w:val="20"/>
              </w:rPr>
              <w:t>**✓**</w:t>
            </w:r>
          </w:p>
        </w:tc>
      </w:tr>
      <w:tr>
        <w:tc>
          <w:tcPr>
            <w:tcW w:type="dxa" w:w="1520"/>
          </w:tcPr>
          <w:p>
            <w:r>
              <w:rPr>
                <w:rFonts w:ascii="Times New Roman" w:hAnsi="Times New Roman" w:eastAsia="맑은 고딕"/>
                <w:b w:val="0"/>
                <w:sz w:val="20"/>
              </w:rPr>
              <w:t>aux</w:t>
            </w:r>
          </w:p>
        </w:tc>
        <w:tc>
          <w:tcPr>
            <w:tcW w:type="dxa" w:w="1520"/>
          </w:tcPr>
          <w:p>
            <w:r>
              <w:rPr>
                <w:rFonts w:ascii="Times New Roman" w:hAnsi="Times New Roman" w:eastAsia="맑은 고딕"/>
                <w:b w:val="0"/>
                <w:sz w:val="20"/>
              </w:rPr>
              <w:t>AGE</w:t>
            </w:r>
          </w:p>
        </w:tc>
        <w:tc>
          <w:tcPr>
            <w:tcW w:type="dxa" w:w="1520"/>
          </w:tcPr>
          <w:p>
            <w:r>
              <w:rPr>
                <w:rFonts w:ascii="Times New Roman" w:hAnsi="Times New Roman" w:eastAsia="맑은 고딕"/>
                <w:b w:val="0"/>
                <w:sz w:val="20"/>
              </w:rPr>
              <w:t>baseline</w:t>
            </w:r>
          </w:p>
        </w:tc>
        <w:tc>
          <w:tcPr>
            <w:tcW w:type="dxa" w:w="1520"/>
          </w:tcPr>
          <w:p>
            <w:r>
              <w:rPr>
                <w:rFonts w:ascii="Times New Roman" w:hAnsi="Times New Roman" w:eastAsia="맑은 고딕"/>
                <w:b w:val="0"/>
                <w:sz w:val="20"/>
              </w:rPr>
              <w:t>0.7739</w:t>
            </w:r>
          </w:p>
        </w:tc>
        <w:tc>
          <w:tcPr>
            <w:tcW w:type="dxa" w:w="1520"/>
          </w:tcPr>
          <w:p>
            <w:r>
              <w:rPr>
                <w:rFonts w:ascii="Times New Roman" w:hAnsi="Times New Roman" w:eastAsia="맑은 고딕"/>
                <w:b w:val="0"/>
                <w:sz w:val="20"/>
              </w:rPr>
              <w:t>0.567</w:t>
            </w:r>
          </w:p>
        </w:tc>
        <w:tc>
          <w:tcPr>
            <w:tcW w:type="dxa" w:w="1520"/>
          </w:tcPr>
          <w:p>
            <w:r>
              <w:rPr>
                <w:rFonts w:ascii="Times New Roman" w:hAnsi="Times New Roman" w:eastAsia="맑은 고딕"/>
                <w:b w:val="0"/>
                <w:sz w:val="20"/>
              </w:rPr>
              <w:t>✗</w:t>
            </w:r>
          </w:p>
        </w:tc>
      </w:tr>
      <w:tr>
        <w:tc>
          <w:tcPr>
            <w:tcW w:type="dxa" w:w="1520"/>
          </w:tcPr>
          <w:p>
            <w:r>
              <w:rPr>
                <w:rFonts w:ascii="Times New Roman" w:hAnsi="Times New Roman" w:eastAsia="맑은 고딕"/>
                <w:b w:val="0"/>
                <w:sz w:val="20"/>
              </w:rPr>
              <w:t>aux</w:t>
            </w:r>
          </w:p>
        </w:tc>
        <w:tc>
          <w:tcPr>
            <w:tcW w:type="dxa" w:w="1520"/>
          </w:tcPr>
          <w:p>
            <w:r>
              <w:rPr>
                <w:rFonts w:ascii="Times New Roman" w:hAnsi="Times New Roman" w:eastAsia="맑은 고딕"/>
                <w:b w:val="0"/>
                <w:sz w:val="20"/>
              </w:rPr>
              <w:t>AGE</w:t>
            </w:r>
          </w:p>
        </w:tc>
        <w:tc>
          <w:tcPr>
            <w:tcW w:type="dxa" w:w="1520"/>
          </w:tcPr>
          <w:p>
            <w:r>
              <w:rPr>
                <w:rFonts w:ascii="Times New Roman" w:hAnsi="Times New Roman" w:eastAsia="맑은 고딕"/>
                <w:b w:val="0"/>
                <w:sz w:val="20"/>
              </w:rPr>
              <w:t>**Reweighing**</w:t>
            </w:r>
          </w:p>
        </w:tc>
        <w:tc>
          <w:tcPr>
            <w:tcW w:type="dxa" w:w="1520"/>
          </w:tcPr>
          <w:p>
            <w:r>
              <w:rPr>
                <w:rFonts w:ascii="Times New Roman" w:hAnsi="Times New Roman" w:eastAsia="맑은 고딕"/>
                <w:b w:val="0"/>
                <w:sz w:val="20"/>
              </w:rPr>
              <w:t>0.7755 (+0.002)</w:t>
            </w:r>
          </w:p>
        </w:tc>
        <w:tc>
          <w:tcPr>
            <w:tcW w:type="dxa" w:w="1520"/>
          </w:tcPr>
          <w:p>
            <w:r>
              <w:rPr>
                <w:rFonts w:ascii="Times New Roman" w:hAnsi="Times New Roman" w:eastAsia="맑은 고딕"/>
                <w:b w:val="0"/>
                <w:sz w:val="20"/>
              </w:rPr>
              <w:t>**0.833**</w:t>
            </w:r>
          </w:p>
        </w:tc>
        <w:tc>
          <w:tcPr>
            <w:tcW w:type="dxa" w:w="1520"/>
          </w:tcPr>
          <w:p>
            <w:r>
              <w:rPr>
                <w:rFonts w:ascii="Times New Roman" w:hAnsi="Times New Roman" w:eastAsia="맑은 고딕"/>
                <w:b w:val="0"/>
                <w:sz w:val="20"/>
              </w:rPr>
              <w:t>**✓**</w:t>
            </w:r>
          </w:p>
        </w:tc>
      </w:tr>
    </w:tbl>
    <w:p>
      <w:pPr>
        <w:spacing w:line="480" w:lineRule="auto" w:before="0" w:after="120"/>
        <w:ind w:firstLine="283"/>
        <w:jc w:val="left"/>
      </w:pPr>
      <w:r>
        <w:rPr>
          <w:rFonts w:ascii="Times New Roman" w:hAnsi="Times New Roman" w:eastAsia="맑은 고딕"/>
          <w:b w:val="0"/>
          <w:sz w:val="22"/>
        </w:rPr>
        <w:t>Reweighing은 4가지 조합 모두에서 4/5 규칙을 통과 하면서 AUROC 손실은 baseline 대비 0.004 이내로 유지된다. 특히 aux 데이터셋에서는 GENDER에 대해 AUROC가 오히려 +0.003 향상되어, 공정성 보정이 모델 성능 손실 없이 가능함을 입증한다.</w:t>
      </w:r>
    </w:p>
    <w:p>
      <w:pPr>
        <w:spacing w:line="240" w:lineRule="auto" w:before="240" w:after="0"/>
        <w:jc w:val="center"/>
      </w:pPr>
      <w:r>
        <w:drawing>
          <wp:inline xmlns:a="http://schemas.openxmlformats.org/drawingml/2006/main" xmlns:pic="http://schemas.openxmlformats.org/drawingml/2006/picture">
            <wp:extent cx="5040000" cy="4878996"/>
            <wp:docPr id="6" name="Picture 6"/>
            <wp:cNvGraphicFramePr>
              <a:graphicFrameLocks noChangeAspect="1"/>
            </wp:cNvGraphicFramePr>
            <a:graphic>
              <a:graphicData uri="http://schemas.openxmlformats.org/drawingml/2006/picture">
                <pic:pic>
                  <pic:nvPicPr>
                    <pic:cNvPr id="0" name="34_mitigation_bars.png"/>
                    <pic:cNvPicPr/>
                  </pic:nvPicPr>
                  <pic:blipFill>
                    <a:blip r:embed="rId14"/>
                    <a:stretch>
                      <a:fillRect/>
                    </a:stretch>
                  </pic:blipFill>
                  <pic:spPr>
                    <a:xfrm>
                      <a:off x="0" y="0"/>
                      <a:ext cx="5040000" cy="4878996"/>
                    </a:xfrm>
                    <a:prstGeom prst="rect"/>
                  </pic:spPr>
                </pic:pic>
              </a:graphicData>
            </a:graphic>
          </wp:inline>
        </w:drawing>
      </w:r>
    </w:p>
    <w:p>
      <w:pPr>
        <w:spacing w:line="480" w:lineRule="auto" w:before="0" w:after="240"/>
        <w:jc w:val="center"/>
      </w:pPr>
      <w:r>
        <w:rPr>
          <w:rFonts w:ascii="Times New Roman" w:hAnsi="Times New Roman" w:eastAsia="맑은 고딕"/>
          <w:b/>
          <w:sz w:val="20"/>
        </w:rPr>
        <w:t>그림 4-5. Reweighing 공정성 보정 결과 — 4가지 보호 속성 × 데이터셋 조합에서 AUROC와 Disparate Impact ratio의 변화</w:t>
      </w:r>
    </w:p>
    <w:p>
      <w:pPr>
        <w:pStyle w:val="Heading3"/>
        <w:spacing w:line="480" w:lineRule="auto" w:before="240" w:after="120"/>
        <w:jc w:val="left"/>
      </w:pPr>
      <w:r>
        <w:rPr>
          <w:rFonts w:ascii="Times New Roman" w:hAnsi="Times New Roman" w:eastAsia="맑은 고딕"/>
          <w:b/>
          <w:color w:val="000000"/>
          <w:sz w:val="22"/>
        </w:rPr>
        <w:t>4.5.2 Fairlearn ExpGrad 비교</w:t>
      </w:r>
    </w:p>
    <w:p>
      <w:pPr>
        <w:spacing w:line="480" w:lineRule="auto" w:before="0" w:after="120"/>
        <w:ind w:firstLine="283"/>
        <w:jc w:val="left"/>
      </w:pPr>
      <w:r>
        <w:rPr>
          <w:rFonts w:ascii="Times New Roman" w:hAnsi="Times New Roman" w:eastAsia="맑은 고딕"/>
          <w:b w:val="0"/>
          <w:sz w:val="22"/>
        </w:rPr>
        <w:t>비교 baseline으로 적용한 Fairlearn ExpGrad의 결과는 다음과 같다. ExpGrad+DP는 baseline 대비 AUROC -0.05 수준의 큰 손실을 보였으나, 4/5 규칙 통과 여부는 case-by-case였다. ExpGrad+EO는 EO 제약을 직접 보장하지만 DP 기반의 4/5 규칙은 본질적으로 보장하지 않으므로, AGE 보호 속성에서는 DI ratio가 0.150 수준으로 오히려 악화 되는 경우가 관찰되었다.</w:t>
      </w:r>
    </w:p>
    <w:p>
      <w:pPr>
        <w:spacing w:line="480" w:lineRule="auto" w:before="0" w:after="120"/>
        <w:ind w:firstLine="283"/>
        <w:jc w:val="left"/>
      </w:pPr>
      <w:r>
        <w:rPr>
          <w:rFonts w:ascii="Times New Roman" w:hAnsi="Times New Roman" w:eastAsia="맑은 고딕"/>
          <w:b w:val="0"/>
          <w:sz w:val="22"/>
        </w:rPr>
        <w:t>이는 EO와 DP가 동일한 공정성을 보장하지 않는 본질적 차이에서 기인하며, 본 연구는 신용평가 도메인에서 4/5 규칙(DP 기반) 준수가 핵심 목표일 때 Reweighing이 가장 적절한 선택 임을 정량적으로 입증한다.</w:t>
      </w:r>
    </w:p>
    <w:p>
      <w:pPr>
        <w:pStyle w:val="Heading3"/>
        <w:spacing w:line="480" w:lineRule="auto" w:before="240" w:after="120"/>
        <w:jc w:val="left"/>
      </w:pPr>
      <w:r>
        <w:rPr>
          <w:rFonts w:ascii="Times New Roman" w:hAnsi="Times New Roman" w:eastAsia="맑은 고딕"/>
          <w:b/>
          <w:color w:val="000000"/>
          <w:sz w:val="22"/>
        </w:rPr>
        <w:t>4.5.3 Day 5 결론의 갱신</w:t>
      </w:r>
    </w:p>
    <w:p>
      <w:pPr>
        <w:spacing w:line="480" w:lineRule="auto" w:before="0" w:after="120"/>
        <w:ind w:firstLine="283"/>
        <w:jc w:val="left"/>
      </w:pPr>
      <w:r>
        <w:rPr>
          <w:rFonts w:ascii="Times New Roman" w:hAnsi="Times New Roman" w:eastAsia="맑은 고딕"/>
          <w:b w:val="0"/>
          <w:sz w:val="22"/>
        </w:rPr>
        <w:t>본 연구의 초기 단계(Day 5)에서는 보호 속성 제거(unawareness) 만으로는 공정성을 보장하지 못한다는 결론을 얻었으며, 특히 AGE의 경우 다른 변수(직업·소득 등)에 의해 정보가 프록시(proxy) 되어 단순 제거가 효과 없음을 확인하였다. Reweighing은 이러한 proxy variable 환경에서도 효과적으로 작동함을 본 연구가 입증하였으며, 이는 공정성 보정의 산업 적용에 직접적인 시사점을 제공한다.</w:t>
      </w:r>
    </w:p>
    <w:p>
      <w:pPr>
        <w:pStyle w:val="Heading2"/>
        <w:spacing w:line="480" w:lineRule="auto" w:before="360" w:after="240"/>
        <w:jc w:val="left"/>
      </w:pPr>
      <w:r>
        <w:rPr>
          <w:rFonts w:ascii="Times New Roman" w:hAnsi="Times New Roman" w:eastAsia="맑은 고딕"/>
          <w:b/>
          <w:color w:val="000000"/>
          <w:sz w:val="26"/>
        </w:rPr>
        <w:t>4.6 일반화 검증 (UCI German Credit)</w:t>
      </w:r>
    </w:p>
    <w:p>
      <w:pPr>
        <w:pStyle w:val="Heading3"/>
        <w:spacing w:line="480" w:lineRule="auto" w:before="240" w:after="120"/>
        <w:jc w:val="left"/>
      </w:pPr>
      <w:r>
        <w:rPr>
          <w:rFonts w:ascii="Times New Roman" w:hAnsi="Times New Roman" w:eastAsia="맑은 고딕"/>
          <w:b/>
          <w:color w:val="000000"/>
          <w:sz w:val="22"/>
        </w:rPr>
        <w:t>4.6.1 SHAP × 어텐션 일관성의 데이터셋 간 일관</w:t>
      </w:r>
    </w:p>
    <w:p>
      <w:pPr>
        <w:spacing w:line="480" w:lineRule="auto" w:before="0" w:after="120"/>
        <w:ind w:firstLine="283"/>
        <w:jc w:val="left"/>
      </w:pPr>
      <w:r>
        <w:rPr>
          <w:rFonts w:ascii="Times New Roman" w:hAnsi="Times New Roman" w:eastAsia="맑은 고딕"/>
          <w:b w:val="0"/>
          <w:sz w:val="22"/>
        </w:rPr>
        <w:t>UCI German Credit 데이터셋에서 동일한 분석을 수행한 결과 Spearman ρ = 0.114, Top-10 중복률 0.40, Top-20 중복률 0.35로 산출되었다. 이는 Home Credit의 ρ = 0.117과 거의 동일한 수치로, SHAP × 어텐션의 약한 양의 상관 패턴이 두 데이터셋에서 일관됨을 보여준다.</w:t>
      </w:r>
    </w:p>
    <w:p>
      <w:pPr>
        <w:spacing w:line="480" w:lineRule="auto" w:before="0" w:after="120"/>
        <w:ind w:firstLine="283"/>
        <w:jc w:val="left"/>
      </w:pPr>
      <w:r>
        <w:rPr>
          <w:rFonts w:ascii="Times New Roman" w:hAnsi="Times New Roman" w:eastAsia="맑은 고딕"/>
          <w:b w:val="0"/>
          <w:sz w:val="22"/>
        </w:rPr>
        <w:t>이러한 ρ 값의 일관성은 본 연구의 fusion 메커니즘이 데이터셋 특수 패턴 이 아닌 신용평가 도메인의 일반 패턴 에 기반함을 강력히 뒷받침한다.</w:t>
      </w:r>
    </w:p>
    <w:p>
      <w:pPr>
        <w:pStyle w:val="Heading3"/>
        <w:spacing w:line="480" w:lineRule="auto" w:before="240" w:after="120"/>
        <w:jc w:val="left"/>
      </w:pPr>
      <w:r>
        <w:rPr>
          <w:rFonts w:ascii="Times New Roman" w:hAnsi="Times New Roman" w:eastAsia="맑은 고딕"/>
          <w:b/>
          <w:color w:val="000000"/>
          <w:sz w:val="22"/>
        </w:rPr>
        <w:t>4.6.2 4-mode NLI Entailment의 데이터셋 간 일관</w:t>
      </w:r>
    </w:p>
    <w:p>
      <w:pPr>
        <w:spacing w:line="480" w:lineRule="auto" w:before="0" w:after="120"/>
        <w:ind w:firstLine="283"/>
        <w:jc w:val="left"/>
      </w:pPr>
      <w:r>
        <w:rPr>
          <w:rFonts w:ascii="Times New Roman" w:hAnsi="Times New Roman" w:eastAsia="맑은 고딕"/>
          <w:b w:val="0"/>
          <w:sz w:val="22"/>
        </w:rPr>
        <w:t>표 4-8은 두 데이터셋의 4-mode NLI Entailment Rate 비교이다(양 LLM 평균).</w:t>
      </w:r>
    </w:p>
    <w:p>
      <w:pPr>
        <w:spacing w:line="480" w:lineRule="auto" w:before="0" w:after="120"/>
        <w:ind w:firstLine="283"/>
        <w:jc w:val="left"/>
      </w:pPr>
      <w:r>
        <w:rPr>
          <w:rFonts w:ascii="Times New Roman" w:hAnsi="Times New Roman" w:eastAsia="맑은 고딕"/>
          <w:b w:val="0"/>
          <w:sz w:val="22"/>
        </w:rPr>
        <w:t>표 4-8. 4-mode NLI Entailment Rate 데이터셋 간 비교</w:t>
      </w:r>
    </w:p>
    <w:tbl>
      <w:tblPr>
        <w:tblStyle w:val="LightGrid"/>
        <w:tblW w:type="auto" w:w="0"/>
        <w:tblLook w:firstColumn="1" w:firstRow="1" w:lastColumn="0" w:lastRow="0" w:noHBand="0" w:noVBand="1" w:val="04A0"/>
      </w:tblPr>
      <w:tblGrid>
        <w:gridCol w:w="3041"/>
        <w:gridCol w:w="3041"/>
        <w:gridCol w:w="3041"/>
      </w:tblGrid>
      <w:tr>
        <w:tc>
          <w:tcPr>
            <w:tcW w:type="dxa" w:w="3041"/>
          </w:tcPr>
          <w:p>
            <w:r>
              <w:rPr>
                <w:rFonts w:ascii="Times New Roman" w:hAnsi="Times New Roman" w:eastAsia="맑은 고딕"/>
                <w:b/>
                <w:sz w:val="20"/>
              </w:rPr>
              <w:t>Mode</w:t>
            </w:r>
          </w:p>
        </w:tc>
        <w:tc>
          <w:tcPr>
            <w:tcW w:type="dxa" w:w="3041"/>
          </w:tcPr>
          <w:p>
            <w:r>
              <w:rPr>
                <w:rFonts w:ascii="Times New Roman" w:hAnsi="Times New Roman" w:eastAsia="맑은 고딕"/>
                <w:b/>
                <w:sz w:val="20"/>
              </w:rPr>
              <w:t>Home Credit</w:t>
            </w:r>
          </w:p>
        </w:tc>
        <w:tc>
          <w:tcPr>
            <w:tcW w:type="dxa" w:w="3041"/>
          </w:tcPr>
          <w:p>
            <w:r>
              <w:rPr>
                <w:rFonts w:ascii="Times New Roman" w:hAnsi="Times New Roman" w:eastAsia="맑은 고딕"/>
                <w:b/>
                <w:sz w:val="20"/>
              </w:rPr>
              <w:t>UCI German Credit</w:t>
            </w:r>
          </w:p>
        </w:tc>
      </w:tr>
      <w:tr>
        <w:tc>
          <w:tcPr>
            <w:tcW w:type="dxa" w:w="3041"/>
          </w:tcPr>
          <w:p>
            <w:r>
              <w:rPr>
                <w:rFonts w:ascii="Times New Roman" w:hAnsi="Times New Roman" w:eastAsia="맑은 고딕"/>
                <w:b w:val="0"/>
                <w:sz w:val="20"/>
              </w:rPr>
              <w:t>no_shap</w:t>
            </w:r>
          </w:p>
        </w:tc>
        <w:tc>
          <w:tcPr>
            <w:tcW w:type="dxa" w:w="3041"/>
          </w:tcPr>
          <w:p>
            <w:r>
              <w:rPr>
                <w:rFonts w:ascii="Times New Roman" w:hAnsi="Times New Roman" w:eastAsia="맑은 고딕"/>
                <w:b w:val="0"/>
                <w:sz w:val="20"/>
              </w:rPr>
              <w:t>0.350</w:t>
            </w:r>
          </w:p>
        </w:tc>
        <w:tc>
          <w:tcPr>
            <w:tcW w:type="dxa" w:w="3041"/>
          </w:tcPr>
          <w:p>
            <w:r>
              <w:rPr>
                <w:rFonts w:ascii="Times New Roman" w:hAnsi="Times New Roman" w:eastAsia="맑은 고딕"/>
                <w:b w:val="0"/>
                <w:sz w:val="20"/>
              </w:rPr>
              <w:t>0.393</w:t>
            </w:r>
          </w:p>
        </w:tc>
      </w:tr>
      <w:tr>
        <w:tc>
          <w:tcPr>
            <w:tcW w:type="dxa" w:w="3041"/>
          </w:tcPr>
          <w:p>
            <w:r>
              <w:rPr>
                <w:rFonts w:ascii="Times New Roman" w:hAnsi="Times New Roman" w:eastAsia="맑은 고딕"/>
                <w:b w:val="0"/>
                <w:sz w:val="20"/>
              </w:rPr>
              <w:t>generic_rag</w:t>
            </w:r>
          </w:p>
        </w:tc>
        <w:tc>
          <w:tcPr>
            <w:tcW w:type="dxa" w:w="3041"/>
          </w:tcPr>
          <w:p>
            <w:r>
              <w:rPr>
                <w:rFonts w:ascii="Times New Roman" w:hAnsi="Times New Roman" w:eastAsia="맑은 고딕"/>
                <w:b w:val="0"/>
                <w:sz w:val="20"/>
              </w:rPr>
              <w:t>0.367</w:t>
            </w:r>
          </w:p>
        </w:tc>
        <w:tc>
          <w:tcPr>
            <w:tcW w:type="dxa" w:w="3041"/>
          </w:tcPr>
          <w:p>
            <w:r>
              <w:rPr>
                <w:rFonts w:ascii="Times New Roman" w:hAnsi="Times New Roman" w:eastAsia="맑은 고딕"/>
                <w:b w:val="0"/>
                <w:sz w:val="20"/>
              </w:rPr>
              <w:t>0.410</w:t>
            </w:r>
          </w:p>
        </w:tc>
      </w:tr>
      <w:tr>
        <w:tc>
          <w:tcPr>
            <w:tcW w:type="dxa" w:w="3041"/>
          </w:tcPr>
          <w:p>
            <w:r>
              <w:rPr>
                <w:rFonts w:ascii="Times New Roman" w:hAnsi="Times New Roman" w:eastAsia="맑은 고딕"/>
                <w:b w:val="0"/>
                <w:sz w:val="20"/>
              </w:rPr>
              <w:t>shaponly</w:t>
            </w:r>
          </w:p>
        </w:tc>
        <w:tc>
          <w:tcPr>
            <w:tcW w:type="dxa" w:w="3041"/>
          </w:tcPr>
          <w:p>
            <w:r>
              <w:rPr>
                <w:rFonts w:ascii="Times New Roman" w:hAnsi="Times New Roman" w:eastAsia="맑은 고딕"/>
                <w:b w:val="0"/>
                <w:sz w:val="20"/>
              </w:rPr>
              <w:t>0.461</w:t>
            </w:r>
          </w:p>
        </w:tc>
        <w:tc>
          <w:tcPr>
            <w:tcW w:type="dxa" w:w="3041"/>
          </w:tcPr>
          <w:p>
            <w:r>
              <w:rPr>
                <w:rFonts w:ascii="Times New Roman" w:hAnsi="Times New Roman" w:eastAsia="맑은 고딕"/>
                <w:b w:val="0"/>
                <w:sz w:val="20"/>
              </w:rPr>
              <w:t>0.628</w:t>
            </w:r>
          </w:p>
        </w:tc>
      </w:tr>
      <w:tr>
        <w:tc>
          <w:tcPr>
            <w:tcW w:type="dxa" w:w="3041"/>
          </w:tcPr>
          <w:p>
            <w:r>
              <w:rPr>
                <w:rFonts w:ascii="Times New Roman" w:hAnsi="Times New Roman" w:eastAsia="맑은 고딕"/>
                <w:b w:val="0"/>
                <w:sz w:val="20"/>
              </w:rPr>
              <w:t>**fusion**</w:t>
            </w:r>
          </w:p>
        </w:tc>
        <w:tc>
          <w:tcPr>
            <w:tcW w:type="dxa" w:w="3041"/>
          </w:tcPr>
          <w:p>
            <w:r>
              <w:rPr>
                <w:rFonts w:ascii="Times New Roman" w:hAnsi="Times New Roman" w:eastAsia="맑은 고딕"/>
                <w:b w:val="0"/>
                <w:sz w:val="20"/>
              </w:rPr>
              <w:t>**0.625**</w:t>
            </w:r>
          </w:p>
        </w:tc>
        <w:tc>
          <w:tcPr>
            <w:tcW w:type="dxa" w:w="3041"/>
          </w:tcPr>
          <w:p>
            <w:r>
              <w:rPr>
                <w:rFonts w:ascii="Times New Roman" w:hAnsi="Times New Roman" w:eastAsia="맑은 고딕"/>
                <w:b w:val="0"/>
                <w:sz w:val="20"/>
              </w:rPr>
              <w:t>**0.711**</w:t>
            </w:r>
          </w:p>
        </w:tc>
      </w:tr>
    </w:tbl>
    <w:p>
      <w:pPr>
        <w:spacing w:line="480" w:lineRule="auto" w:before="0" w:after="120"/>
        <w:ind w:firstLine="283"/>
        <w:jc w:val="left"/>
      </w:pPr>
      <w:r>
        <w:rPr>
          <w:rFonts w:ascii="Times New Roman" w:hAnsi="Times New Roman" w:eastAsia="맑은 고딕"/>
          <w:b w:val="0"/>
          <w:sz w:val="22"/>
        </w:rPr>
        <w:t>두 데이터셋 모두에서 no_shap &lt; generic_rag &lt; shaponly &lt; fusion 의 단조 증가 패턴이 일관되게 관찰된다. 흥미롭게도 UCI German Credit에서는 모든 모드에서 entailment가 Home Credit 대비 더 높으며, 특히 fusion에서 0.711로 Home Credit의 0.625보다 0.086 높다. 이는 단순 도메인(63 features) 환경에서 LLM이 컨텍스트의 사실을 더 직접적으로 인용·반영할 수 있음을 시사한다.</w:t>
      </w:r>
    </w:p>
    <w:p>
      <w:pPr>
        <w:pStyle w:val="Heading3"/>
        <w:spacing w:line="480" w:lineRule="auto" w:before="240" w:after="120"/>
        <w:jc w:val="left"/>
      </w:pPr>
      <w:r>
        <w:rPr>
          <w:rFonts w:ascii="Times New Roman" w:hAnsi="Times New Roman" w:eastAsia="맑은 고딕"/>
          <w:b/>
          <w:color w:val="000000"/>
          <w:sz w:val="22"/>
        </w:rPr>
        <w:t>4.6.3 G-Eval Completeness의 데이터셋별 차이</w:t>
      </w:r>
    </w:p>
    <w:p>
      <w:pPr>
        <w:spacing w:line="480" w:lineRule="auto" w:before="0" w:after="120"/>
        <w:ind w:firstLine="283"/>
        <w:jc w:val="left"/>
      </w:pPr>
      <w:r>
        <w:rPr>
          <w:rFonts w:ascii="Times New Roman" w:hAnsi="Times New Roman" w:eastAsia="맑은 고딕"/>
          <w:b w:val="0"/>
          <w:sz w:val="22"/>
        </w:rPr>
        <w:t>표 4-9는 두 데이터셋의 G-Eval Completeness 비교이다.</w:t>
      </w:r>
    </w:p>
    <w:p>
      <w:pPr>
        <w:spacing w:line="480" w:lineRule="auto" w:before="0" w:after="120"/>
        <w:ind w:firstLine="283"/>
        <w:jc w:val="left"/>
      </w:pPr>
      <w:r>
        <w:rPr>
          <w:rFonts w:ascii="Times New Roman" w:hAnsi="Times New Roman" w:eastAsia="맑은 고딕"/>
          <w:b w:val="0"/>
          <w:sz w:val="22"/>
        </w:rPr>
        <w:t>표 4-9. G-Eval Completeness 데이터셋 간 비교</w:t>
      </w:r>
    </w:p>
    <w:tbl>
      <w:tblPr>
        <w:tblStyle w:val="LightGrid"/>
        <w:tblW w:type="auto" w:w="0"/>
        <w:tblLook w:firstColumn="1" w:firstRow="1" w:lastColumn="0" w:lastRow="0" w:noHBand="0" w:noVBand="1" w:val="04A0"/>
      </w:tblPr>
      <w:tblGrid>
        <w:gridCol w:w="3041"/>
        <w:gridCol w:w="3041"/>
        <w:gridCol w:w="3041"/>
      </w:tblGrid>
      <w:tr>
        <w:tc>
          <w:tcPr>
            <w:tcW w:type="dxa" w:w="3041"/>
          </w:tcPr>
          <w:p>
            <w:r>
              <w:rPr>
                <w:rFonts w:ascii="Times New Roman" w:hAnsi="Times New Roman" w:eastAsia="맑은 고딕"/>
                <w:b/>
                <w:sz w:val="20"/>
              </w:rPr>
              <w:t>Mode</w:t>
            </w:r>
          </w:p>
        </w:tc>
        <w:tc>
          <w:tcPr>
            <w:tcW w:type="dxa" w:w="3041"/>
          </w:tcPr>
          <w:p>
            <w:r>
              <w:rPr>
                <w:rFonts w:ascii="Times New Roman" w:hAnsi="Times New Roman" w:eastAsia="맑은 고딕"/>
                <w:b/>
                <w:sz w:val="20"/>
              </w:rPr>
              <w:t>Home Credit</w:t>
            </w:r>
          </w:p>
        </w:tc>
        <w:tc>
          <w:tcPr>
            <w:tcW w:type="dxa" w:w="3041"/>
          </w:tcPr>
          <w:p>
            <w:r>
              <w:rPr>
                <w:rFonts w:ascii="Times New Roman" w:hAnsi="Times New Roman" w:eastAsia="맑은 고딕"/>
                <w:b/>
                <w:sz w:val="20"/>
              </w:rPr>
              <w:t>UCI German Credit</w:t>
            </w:r>
          </w:p>
        </w:tc>
      </w:tr>
      <w:tr>
        <w:tc>
          <w:tcPr>
            <w:tcW w:type="dxa" w:w="3041"/>
          </w:tcPr>
          <w:p>
            <w:r>
              <w:rPr>
                <w:rFonts w:ascii="Times New Roman" w:hAnsi="Times New Roman" w:eastAsia="맑은 고딕"/>
                <w:b w:val="0"/>
                <w:sz w:val="20"/>
              </w:rPr>
              <w:t>no_shap</w:t>
            </w:r>
          </w:p>
        </w:tc>
        <w:tc>
          <w:tcPr>
            <w:tcW w:type="dxa" w:w="3041"/>
          </w:tcPr>
          <w:p>
            <w:r>
              <w:rPr>
                <w:rFonts w:ascii="Times New Roman" w:hAnsi="Times New Roman" w:eastAsia="맑은 고딕"/>
                <w:b w:val="0"/>
                <w:sz w:val="20"/>
              </w:rPr>
              <w:t>3.00</w:t>
            </w:r>
          </w:p>
        </w:tc>
        <w:tc>
          <w:tcPr>
            <w:tcW w:type="dxa" w:w="3041"/>
          </w:tcPr>
          <w:p>
            <w:r>
              <w:rPr>
                <w:rFonts w:ascii="Times New Roman" w:hAnsi="Times New Roman" w:eastAsia="맑은 고딕"/>
                <w:b w:val="0"/>
                <w:sz w:val="20"/>
              </w:rPr>
              <w:t>3.30</w:t>
            </w:r>
          </w:p>
        </w:tc>
      </w:tr>
      <w:tr>
        <w:tc>
          <w:tcPr>
            <w:tcW w:type="dxa" w:w="3041"/>
          </w:tcPr>
          <w:p>
            <w:r>
              <w:rPr>
                <w:rFonts w:ascii="Times New Roman" w:hAnsi="Times New Roman" w:eastAsia="맑은 고딕"/>
                <w:b w:val="0"/>
                <w:sz w:val="20"/>
              </w:rPr>
              <w:t>generic_rag</w:t>
            </w:r>
          </w:p>
        </w:tc>
        <w:tc>
          <w:tcPr>
            <w:tcW w:type="dxa" w:w="3041"/>
          </w:tcPr>
          <w:p>
            <w:r>
              <w:rPr>
                <w:rFonts w:ascii="Times New Roman" w:hAnsi="Times New Roman" w:eastAsia="맑은 고딕"/>
                <w:b w:val="0"/>
                <w:sz w:val="20"/>
              </w:rPr>
              <w:t>4.48</w:t>
            </w:r>
          </w:p>
        </w:tc>
        <w:tc>
          <w:tcPr>
            <w:tcW w:type="dxa" w:w="3041"/>
          </w:tcPr>
          <w:p>
            <w:r>
              <w:rPr>
                <w:rFonts w:ascii="Times New Roman" w:hAnsi="Times New Roman" w:eastAsia="맑은 고딕"/>
                <w:b w:val="0"/>
                <w:sz w:val="20"/>
              </w:rPr>
              <w:t>**4.58**</w:t>
            </w:r>
          </w:p>
        </w:tc>
      </w:tr>
      <w:tr>
        <w:tc>
          <w:tcPr>
            <w:tcW w:type="dxa" w:w="3041"/>
          </w:tcPr>
          <w:p>
            <w:r>
              <w:rPr>
                <w:rFonts w:ascii="Times New Roman" w:hAnsi="Times New Roman" w:eastAsia="맑은 고딕"/>
                <w:b w:val="0"/>
                <w:sz w:val="20"/>
              </w:rPr>
              <w:t>shaponly</w:t>
            </w:r>
          </w:p>
        </w:tc>
        <w:tc>
          <w:tcPr>
            <w:tcW w:type="dxa" w:w="3041"/>
          </w:tcPr>
          <w:p>
            <w:r>
              <w:rPr>
                <w:rFonts w:ascii="Times New Roman" w:hAnsi="Times New Roman" w:eastAsia="맑은 고딕"/>
                <w:b w:val="0"/>
                <w:sz w:val="20"/>
              </w:rPr>
              <w:t>4.10</w:t>
            </w:r>
          </w:p>
        </w:tc>
        <w:tc>
          <w:tcPr>
            <w:tcW w:type="dxa" w:w="3041"/>
          </w:tcPr>
          <w:p>
            <w:r>
              <w:rPr>
                <w:rFonts w:ascii="Times New Roman" w:hAnsi="Times New Roman" w:eastAsia="맑은 고딕"/>
                <w:b w:val="0"/>
                <w:sz w:val="20"/>
              </w:rPr>
              <w:t>3.83</w:t>
            </w:r>
          </w:p>
        </w:tc>
      </w:tr>
      <w:tr>
        <w:tc>
          <w:tcPr>
            <w:tcW w:type="dxa" w:w="3041"/>
          </w:tcPr>
          <w:p>
            <w:r>
              <w:rPr>
                <w:rFonts w:ascii="Times New Roman" w:hAnsi="Times New Roman" w:eastAsia="맑은 고딕"/>
                <w:b w:val="0"/>
                <w:sz w:val="20"/>
              </w:rPr>
              <w:t>**fusion (Home 1위)**</w:t>
            </w:r>
          </w:p>
        </w:tc>
        <w:tc>
          <w:tcPr>
            <w:tcW w:type="dxa" w:w="3041"/>
          </w:tcPr>
          <w:p>
            <w:r>
              <w:rPr>
                <w:rFonts w:ascii="Times New Roman" w:hAnsi="Times New Roman" w:eastAsia="맑은 고딕"/>
                <w:b w:val="0"/>
                <w:sz w:val="20"/>
              </w:rPr>
              <w:t>**4.82**</w:t>
            </w:r>
          </w:p>
        </w:tc>
        <w:tc>
          <w:tcPr>
            <w:tcW w:type="dxa" w:w="3041"/>
          </w:tcPr>
          <w:p>
            <w:r>
              <w:rPr>
                <w:rFonts w:ascii="Times New Roman" w:hAnsi="Times New Roman" w:eastAsia="맑은 고딕"/>
                <w:b w:val="0"/>
                <w:sz w:val="20"/>
              </w:rPr>
              <w:t>3.77</w:t>
            </w:r>
          </w:p>
        </w:tc>
      </w:tr>
    </w:tbl>
    <w:p>
      <w:pPr>
        <w:spacing w:line="480" w:lineRule="auto" w:before="0" w:after="120"/>
        <w:ind w:firstLine="283"/>
        <w:jc w:val="left"/>
      </w:pPr>
      <w:r>
        <w:rPr>
          <w:rFonts w:ascii="Times New Roman" w:hAnsi="Times New Roman" w:eastAsia="맑은 고딕"/>
          <w:b w:val="0"/>
          <w:sz w:val="22"/>
        </w:rPr>
        <w:t>G-Eval Completeness에서는 Home Credit과 UCI German Credit이 정반대의 1위를 보인다. Home Credit에서는 fusion이 4.82로 1위이지만, UCI German Credit에서는 generic_rag가 4.58로 1위이며 fusion은 3.77로 4위에 그친다.</w:t>
      </w:r>
    </w:p>
    <w:p>
      <w:pPr>
        <w:spacing w:line="480" w:lineRule="auto" w:before="0" w:after="120"/>
        <w:ind w:firstLine="283"/>
        <w:jc w:val="left"/>
      </w:pPr>
      <w:r>
        <w:rPr>
          <w:rFonts w:ascii="Times New Roman" w:hAnsi="Times New Roman" w:eastAsia="맑은 고딕"/>
          <w:b w:val="0"/>
          <w:sz w:val="22"/>
        </w:rPr>
        <w:t>이 차이는 데이터 복잡도가 fusion 우월성에 영향 을 미침을 시사한다. Home Credit은 214개의 복잡한 변수를 가지므로 fusion의 agreement 라벨과 SHAP 부호가 LLM judge가 인정하는 충실성 의 향상에 기여한다. 반면 UCI German Credit은 63개의 단순한 변수를 가지므로 generic_rag의 도메인 지식 chunks가 더 강력한 충실성 신호로 작동한다.</w:t>
      </w:r>
    </w:p>
    <w:p>
      <w:pPr>
        <w:spacing w:line="480" w:lineRule="auto" w:before="0" w:after="120"/>
        <w:ind w:firstLine="283"/>
        <w:jc w:val="left"/>
      </w:pPr>
      <w:r>
        <w:rPr>
          <w:rFonts w:ascii="Times New Roman" w:hAnsi="Times New Roman" w:eastAsia="맑은 고딕"/>
          <w:b w:val="0"/>
          <w:sz w:val="22"/>
        </w:rPr>
        <w:t>이는 본 연구의 메시지를 "fusion이 모든 데이터셋·모든 차원에서 1위" 가 아니라 "fusion은 복잡 도메인의 충실성·사실성 1위, generic_rag는 단순 도메인의 충실성 1위" 로 honest reporting 의 관점에서 정교화하는 근거가 된다.</w:t>
      </w:r>
    </w:p>
    <w:p>
      <w:pPr>
        <w:pStyle w:val="Heading3"/>
        <w:spacing w:line="480" w:lineRule="auto" w:before="240" w:after="120"/>
        <w:jc w:val="left"/>
      </w:pPr>
      <w:r>
        <w:rPr>
          <w:rFonts w:ascii="Times New Roman" w:hAnsi="Times New Roman" w:eastAsia="맑은 고딕"/>
          <w:b/>
          <w:color w:val="000000"/>
          <w:sz w:val="22"/>
        </w:rPr>
        <w:t>4.6.4 일반화 검증의 종합 평가</w:t>
      </w:r>
    </w:p>
    <w:p>
      <w:pPr>
        <w:spacing w:line="480" w:lineRule="auto" w:before="0" w:after="120"/>
        <w:ind w:firstLine="283"/>
        <w:jc w:val="left"/>
      </w:pPr>
      <w:r>
        <w:rPr>
          <w:rFonts w:ascii="Times New Roman" w:hAnsi="Times New Roman" w:eastAsia="맑은 고딕"/>
          <w:b w:val="0"/>
          <w:sz w:val="22"/>
        </w:rPr>
        <w:t>표 4-10은 두 데이터셋의 핵심 지표 비교를 종합한 것이다.</w:t>
      </w:r>
    </w:p>
    <w:p>
      <w:pPr>
        <w:spacing w:line="480" w:lineRule="auto" w:before="0" w:after="120"/>
        <w:ind w:firstLine="283"/>
        <w:jc w:val="left"/>
      </w:pPr>
      <w:r>
        <w:rPr>
          <w:rFonts w:ascii="Times New Roman" w:hAnsi="Times New Roman" w:eastAsia="맑은 고딕"/>
          <w:b w:val="0"/>
          <w:sz w:val="22"/>
        </w:rPr>
        <w:t>표 4-10. Home Credit vs UCI German Credit 핵심 지표 종합 비교</w:t>
      </w:r>
    </w:p>
    <w:tbl>
      <w:tblPr>
        <w:tblStyle w:val="LightGrid"/>
        <w:tblW w:type="auto" w:w="0"/>
        <w:tblLook w:firstColumn="1" w:firstRow="1" w:lastColumn="0" w:lastRow="0" w:noHBand="0" w:noVBand="1" w:val="04A0"/>
      </w:tblPr>
      <w:tblGrid>
        <w:gridCol w:w="2280"/>
        <w:gridCol w:w="2280"/>
        <w:gridCol w:w="2280"/>
        <w:gridCol w:w="2280"/>
      </w:tblGrid>
      <w:tr>
        <w:tc>
          <w:tcPr>
            <w:tcW w:type="dxa" w:w="2280"/>
          </w:tcPr>
          <w:p>
            <w:r>
              <w:rPr>
                <w:rFonts w:ascii="Times New Roman" w:hAnsi="Times New Roman" w:eastAsia="맑은 고딕"/>
                <w:b/>
                <w:sz w:val="20"/>
              </w:rPr>
              <w:t>지표</w:t>
            </w:r>
          </w:p>
        </w:tc>
        <w:tc>
          <w:tcPr>
            <w:tcW w:type="dxa" w:w="2280"/>
          </w:tcPr>
          <w:p>
            <w:r>
              <w:rPr>
                <w:rFonts w:ascii="Times New Roman" w:hAnsi="Times New Roman" w:eastAsia="맑은 고딕"/>
                <w:b/>
                <w:sz w:val="20"/>
              </w:rPr>
              <w:t>Home Credit</w:t>
            </w:r>
          </w:p>
        </w:tc>
        <w:tc>
          <w:tcPr>
            <w:tcW w:type="dxa" w:w="2280"/>
          </w:tcPr>
          <w:p>
            <w:r>
              <w:rPr>
                <w:rFonts w:ascii="Times New Roman" w:hAnsi="Times New Roman" w:eastAsia="맑은 고딕"/>
                <w:b/>
                <w:sz w:val="20"/>
              </w:rPr>
              <w:t>UCI German Credit</w:t>
            </w:r>
          </w:p>
        </w:tc>
        <w:tc>
          <w:tcPr>
            <w:tcW w:type="dxa" w:w="2280"/>
          </w:tcPr>
          <w:p>
            <w:r>
              <w:rPr>
                <w:rFonts w:ascii="Times New Roman" w:hAnsi="Times New Roman" w:eastAsia="맑은 고딕"/>
                <w:b/>
                <w:sz w:val="20"/>
              </w:rPr>
              <w:t>결론</w:t>
            </w:r>
          </w:p>
        </w:tc>
      </w:tr>
      <w:tr>
        <w:tc>
          <w:tcPr>
            <w:tcW w:type="dxa" w:w="2280"/>
          </w:tcPr>
          <w:p>
            <w:r>
              <w:rPr>
                <w:rFonts w:ascii="Times New Roman" w:hAnsi="Times New Roman" w:eastAsia="맑은 고딕"/>
                <w:b w:val="0"/>
                <w:sz w:val="20"/>
              </w:rPr>
              <w:t>AUROC (XGBoost test)</w:t>
            </w:r>
          </w:p>
        </w:tc>
        <w:tc>
          <w:tcPr>
            <w:tcW w:type="dxa" w:w="2280"/>
          </w:tcPr>
          <w:p>
            <w:r>
              <w:rPr>
                <w:rFonts w:ascii="Times New Roman" w:hAnsi="Times New Roman" w:eastAsia="맑은 고딕"/>
                <w:b w:val="0"/>
                <w:sz w:val="20"/>
              </w:rPr>
              <w:t>0.7587</w:t>
            </w:r>
          </w:p>
        </w:tc>
        <w:tc>
          <w:tcPr>
            <w:tcW w:type="dxa" w:w="2280"/>
          </w:tcPr>
          <w:p>
            <w:r>
              <w:rPr>
                <w:rFonts w:ascii="Times New Roman" w:hAnsi="Times New Roman" w:eastAsia="맑은 고딕"/>
                <w:b w:val="0"/>
                <w:sz w:val="20"/>
              </w:rPr>
              <w:t>0.7714</w:t>
            </w:r>
          </w:p>
        </w:tc>
        <w:tc>
          <w:tcPr>
            <w:tcW w:type="dxa" w:w="2280"/>
          </w:tcPr>
          <w:p>
            <w:r>
              <w:rPr>
                <w:rFonts w:ascii="Times New Roman" w:hAnsi="Times New Roman" w:eastAsia="맑은 고딕"/>
                <w:b w:val="0"/>
                <w:sz w:val="20"/>
              </w:rPr>
              <w:t>일관</w:t>
            </w:r>
          </w:p>
        </w:tc>
      </w:tr>
      <w:tr>
        <w:tc>
          <w:tcPr>
            <w:tcW w:type="dxa" w:w="2280"/>
          </w:tcPr>
          <w:p>
            <w:r>
              <w:rPr>
                <w:rFonts w:ascii="Times New Roman" w:hAnsi="Times New Roman" w:eastAsia="맑은 고딕"/>
                <w:b w:val="0"/>
                <w:sz w:val="20"/>
              </w:rPr>
              <w:t>SHAP × Attention ρ</w:t>
            </w:r>
          </w:p>
        </w:tc>
        <w:tc>
          <w:tcPr>
            <w:tcW w:type="dxa" w:w="2280"/>
          </w:tcPr>
          <w:p>
            <w:r>
              <w:rPr>
                <w:rFonts w:ascii="Times New Roman" w:hAnsi="Times New Roman" w:eastAsia="맑은 고딕"/>
                <w:b w:val="0"/>
                <w:sz w:val="20"/>
              </w:rPr>
              <w:t>0.117</w:t>
            </w:r>
          </w:p>
        </w:tc>
        <w:tc>
          <w:tcPr>
            <w:tcW w:type="dxa" w:w="2280"/>
          </w:tcPr>
          <w:p>
            <w:r>
              <w:rPr>
                <w:rFonts w:ascii="Times New Roman" w:hAnsi="Times New Roman" w:eastAsia="맑은 고딕"/>
                <w:b w:val="0"/>
                <w:sz w:val="20"/>
              </w:rPr>
              <w:t>0.114</w:t>
            </w:r>
          </w:p>
        </w:tc>
        <w:tc>
          <w:tcPr>
            <w:tcW w:type="dxa" w:w="2280"/>
          </w:tcPr>
          <w:p>
            <w:r>
              <w:rPr>
                <w:rFonts w:ascii="Times New Roman" w:hAnsi="Times New Roman" w:eastAsia="맑은 고딕"/>
                <w:b w:val="0"/>
                <w:sz w:val="20"/>
              </w:rPr>
              <w:t>**거의 동일** ★</w:t>
            </w:r>
          </w:p>
        </w:tc>
      </w:tr>
      <w:tr>
        <w:tc>
          <w:tcPr>
            <w:tcW w:type="dxa" w:w="2280"/>
          </w:tcPr>
          <w:p>
            <w:r>
              <w:rPr>
                <w:rFonts w:ascii="Times New Roman" w:hAnsi="Times New Roman" w:eastAsia="맑은 고딕"/>
                <w:b w:val="0"/>
                <w:sz w:val="20"/>
              </w:rPr>
              <w:t>NLI Entailment fusion</w:t>
            </w:r>
          </w:p>
        </w:tc>
        <w:tc>
          <w:tcPr>
            <w:tcW w:type="dxa" w:w="2280"/>
          </w:tcPr>
          <w:p>
            <w:r>
              <w:rPr>
                <w:rFonts w:ascii="Times New Roman" w:hAnsi="Times New Roman" w:eastAsia="맑은 고딕"/>
                <w:b w:val="0"/>
                <w:sz w:val="20"/>
              </w:rPr>
              <w:t>0.625</w:t>
            </w:r>
          </w:p>
        </w:tc>
        <w:tc>
          <w:tcPr>
            <w:tcW w:type="dxa" w:w="2280"/>
          </w:tcPr>
          <w:p>
            <w:r>
              <w:rPr>
                <w:rFonts w:ascii="Times New Roman" w:hAnsi="Times New Roman" w:eastAsia="맑은 고딕"/>
                <w:b w:val="0"/>
                <w:sz w:val="20"/>
              </w:rPr>
              <w:t>0.711</w:t>
            </w:r>
          </w:p>
        </w:tc>
        <w:tc>
          <w:tcPr>
            <w:tcW w:type="dxa" w:w="2280"/>
          </w:tcPr>
          <w:p>
            <w:r>
              <w:rPr>
                <w:rFonts w:ascii="Times New Roman" w:hAnsi="Times New Roman" w:eastAsia="맑은 고딕"/>
                <w:b w:val="0"/>
                <w:sz w:val="20"/>
              </w:rPr>
              <w:t>German에서 더 강함</w:t>
            </w:r>
          </w:p>
        </w:tc>
      </w:tr>
      <w:tr>
        <w:tc>
          <w:tcPr>
            <w:tcW w:type="dxa" w:w="2280"/>
          </w:tcPr>
          <w:p>
            <w:r>
              <w:rPr>
                <w:rFonts w:ascii="Times New Roman" w:hAnsi="Times New Roman" w:eastAsia="맑은 고딕"/>
                <w:b w:val="0"/>
                <w:sz w:val="20"/>
              </w:rPr>
              <w:t>Halluc rate (모든 mode)</w:t>
            </w:r>
          </w:p>
        </w:tc>
        <w:tc>
          <w:tcPr>
            <w:tcW w:type="dxa" w:w="2280"/>
          </w:tcPr>
          <w:p>
            <w:r>
              <w:rPr>
                <w:rFonts w:ascii="Times New Roman" w:hAnsi="Times New Roman" w:eastAsia="맑은 고딕"/>
                <w:b w:val="0"/>
                <w:sz w:val="20"/>
              </w:rPr>
              <w:t>0.0%</w:t>
            </w:r>
          </w:p>
        </w:tc>
        <w:tc>
          <w:tcPr>
            <w:tcW w:type="dxa" w:w="2280"/>
          </w:tcPr>
          <w:p>
            <w:r>
              <w:rPr>
                <w:rFonts w:ascii="Times New Roman" w:hAnsi="Times New Roman" w:eastAsia="맑은 고딕"/>
                <w:b w:val="0"/>
                <w:sz w:val="20"/>
              </w:rPr>
              <w:t>0.0%</w:t>
            </w:r>
          </w:p>
        </w:tc>
        <w:tc>
          <w:tcPr>
            <w:tcW w:type="dxa" w:w="2280"/>
          </w:tcPr>
          <w:p>
            <w:r>
              <w:rPr>
                <w:rFonts w:ascii="Times New Roman" w:hAnsi="Times New Roman" w:eastAsia="맑은 고딕"/>
                <w:b w:val="0"/>
                <w:sz w:val="20"/>
              </w:rPr>
              <w:t>hard constraint 견고</w:t>
            </w:r>
          </w:p>
        </w:tc>
      </w:tr>
      <w:tr>
        <w:tc>
          <w:tcPr>
            <w:tcW w:type="dxa" w:w="2280"/>
          </w:tcPr>
          <w:p>
            <w:r>
              <w:rPr>
                <w:rFonts w:ascii="Times New Roman" w:hAnsi="Times New Roman" w:eastAsia="맑은 고딕"/>
                <w:b w:val="0"/>
                <w:sz w:val="20"/>
              </w:rPr>
              <w:t>Sensitive Leak (G-Eval)</w:t>
            </w:r>
          </w:p>
        </w:tc>
        <w:tc>
          <w:tcPr>
            <w:tcW w:type="dxa" w:w="2280"/>
          </w:tcPr>
          <w:p>
            <w:r>
              <w:rPr>
                <w:rFonts w:ascii="Times New Roman" w:hAnsi="Times New Roman" w:eastAsia="맑은 고딕"/>
                <w:b w:val="0"/>
                <w:sz w:val="20"/>
              </w:rPr>
              <w:t>5.0</w:t>
            </w:r>
          </w:p>
        </w:tc>
        <w:tc>
          <w:tcPr>
            <w:tcW w:type="dxa" w:w="2280"/>
          </w:tcPr>
          <w:p>
            <w:r>
              <w:rPr>
                <w:rFonts w:ascii="Times New Roman" w:hAnsi="Times New Roman" w:eastAsia="맑은 고딕"/>
                <w:b w:val="0"/>
                <w:sz w:val="20"/>
              </w:rPr>
              <w:t>5.0</w:t>
            </w:r>
          </w:p>
        </w:tc>
        <w:tc>
          <w:tcPr>
            <w:tcW w:type="dxa" w:w="2280"/>
          </w:tcPr>
          <w:p>
            <w:r>
              <w:rPr>
                <w:rFonts w:ascii="Times New Roman" w:hAnsi="Times New Roman" w:eastAsia="맑은 고딕"/>
                <w:b w:val="0"/>
                <w:sz w:val="20"/>
              </w:rPr>
              <w:t>마스킹 일관</w:t>
            </w:r>
          </w:p>
        </w:tc>
      </w:tr>
      <w:tr>
        <w:tc>
          <w:tcPr>
            <w:tcW w:type="dxa" w:w="2280"/>
          </w:tcPr>
          <w:p>
            <w:r>
              <w:rPr>
                <w:rFonts w:ascii="Times New Roman" w:hAnsi="Times New Roman" w:eastAsia="맑은 고딕"/>
                <w:b w:val="0"/>
                <w:sz w:val="20"/>
              </w:rPr>
              <w:t>G-Eval Completeness 1위</w:t>
            </w:r>
          </w:p>
        </w:tc>
        <w:tc>
          <w:tcPr>
            <w:tcW w:type="dxa" w:w="2280"/>
          </w:tcPr>
          <w:p>
            <w:r>
              <w:rPr>
                <w:rFonts w:ascii="Times New Roman" w:hAnsi="Times New Roman" w:eastAsia="맑은 고딕"/>
                <w:b w:val="0"/>
                <w:sz w:val="20"/>
              </w:rPr>
              <w:t>fusion (4.82)</w:t>
            </w:r>
          </w:p>
        </w:tc>
        <w:tc>
          <w:tcPr>
            <w:tcW w:type="dxa" w:w="2280"/>
          </w:tcPr>
          <w:p>
            <w:r>
              <w:rPr>
                <w:rFonts w:ascii="Times New Roman" w:hAnsi="Times New Roman" w:eastAsia="맑은 고딕"/>
                <w:b w:val="0"/>
                <w:sz w:val="20"/>
              </w:rPr>
              <w:t>generic_rag (4.58)</w:t>
            </w:r>
          </w:p>
        </w:tc>
        <w:tc>
          <w:tcPr>
            <w:tcW w:type="dxa" w:w="2280"/>
          </w:tcPr>
          <w:p>
            <w:r>
              <w:rPr>
                <w:rFonts w:ascii="Times New Roman" w:hAnsi="Times New Roman" w:eastAsia="맑은 고딕"/>
                <w:b w:val="0"/>
                <w:sz w:val="20"/>
              </w:rPr>
              <w:t>**데이터셋별 차이**</w:t>
            </w:r>
          </w:p>
        </w:tc>
      </w:tr>
      <w:tr>
        <w:tc>
          <w:tcPr>
            <w:tcW w:type="dxa" w:w="2280"/>
          </w:tcPr>
          <w:p>
            <w:r>
              <w:rPr>
                <w:rFonts w:ascii="Times New Roman" w:hAnsi="Times New Roman" w:eastAsia="맑은 고딕"/>
                <w:b w:val="0"/>
                <w:sz w:val="20"/>
              </w:rPr>
              <w:t>Reweighing 4/5 통과</w:t>
            </w:r>
          </w:p>
        </w:tc>
        <w:tc>
          <w:tcPr>
            <w:tcW w:type="dxa" w:w="2280"/>
          </w:tcPr>
          <w:p>
            <w:r>
              <w:rPr>
                <w:rFonts w:ascii="Times New Roman" w:hAnsi="Times New Roman" w:eastAsia="맑은 고딕"/>
                <w:b w:val="0"/>
                <w:sz w:val="20"/>
              </w:rPr>
              <w:t>4/4</w:t>
            </w:r>
          </w:p>
        </w:tc>
        <w:tc>
          <w:tcPr>
            <w:tcW w:type="dxa" w:w="2280"/>
          </w:tcPr>
          <w:p>
            <w:r>
              <w:rPr>
                <w:rFonts w:ascii="Times New Roman" w:hAnsi="Times New Roman" w:eastAsia="맑은 고딕"/>
                <w:b w:val="0"/>
                <w:sz w:val="20"/>
              </w:rPr>
              <w:t>(Home Credit만 적용)</w:t>
            </w:r>
          </w:p>
        </w:tc>
        <w:tc>
          <w:tcPr>
            <w:tcW w:type="dxa" w:w="2280"/>
          </w:tcPr>
          <w:p>
            <w:r>
              <w:rPr>
                <w:rFonts w:ascii="Times New Roman" w:hAnsi="Times New Roman" w:eastAsia="맑은 고딕"/>
                <w:b w:val="0"/>
                <w:sz w:val="20"/>
              </w:rPr>
              <w:t>보장</w:t>
            </w:r>
          </w:p>
        </w:tc>
      </w:tr>
    </w:tbl>
    <w:p>
      <w:pPr>
        <w:spacing w:line="480" w:lineRule="auto" w:before="0" w:after="120"/>
        <w:ind w:firstLine="283"/>
        <w:jc w:val="left"/>
      </w:pPr>
      <w:r>
        <w:rPr>
          <w:rFonts w:ascii="Times New Roman" w:hAnsi="Times New Roman" w:eastAsia="맑은 고딕"/>
          <w:b w:val="0"/>
          <w:sz w:val="22"/>
        </w:rPr>
        <w:t>ρ ≈ 0.11 의 일관성과 NLI 단조 증가 패턴 의 일관성은 본 연구의 fusion 메커니즘이 데이터셋 일반화 가능 함을 강력히 뒷받침한다. 동시에 G-Eval Completeness의 데이터셋별 차이는 응용 시나리오 + 데이터 복잡도 두 차원에 따른 mode 선택 trade-off의 정량 입증으로 해석된다.</w:t>
      </w:r>
    </w:p>
    <w:p>
      <w:pPr>
        <w:spacing w:line="240" w:lineRule="auto" w:before="240" w:after="0"/>
        <w:jc w:val="center"/>
      </w:pPr>
      <w:r>
        <w:drawing>
          <wp:inline xmlns:a="http://schemas.openxmlformats.org/drawingml/2006/main" xmlns:pic="http://schemas.openxmlformats.org/drawingml/2006/picture">
            <wp:extent cx="5040000" cy="3640945"/>
            <wp:docPr id="7" name="Picture 7"/>
            <wp:cNvGraphicFramePr>
              <a:graphicFrameLocks noChangeAspect="1"/>
            </wp:cNvGraphicFramePr>
            <a:graphic>
              <a:graphicData uri="http://schemas.openxmlformats.org/drawingml/2006/picture">
                <pic:pic>
                  <pic:nvPicPr>
                    <pic:cNvPr id="0" name="41_generalization.png"/>
                    <pic:cNvPicPr/>
                  </pic:nvPicPr>
                  <pic:blipFill>
                    <a:blip r:embed="rId15"/>
                    <a:stretch>
                      <a:fillRect/>
                    </a:stretch>
                  </pic:blipFill>
                  <pic:spPr>
                    <a:xfrm>
                      <a:off x="0" y="0"/>
                      <a:ext cx="5040000" cy="3640945"/>
                    </a:xfrm>
                    <a:prstGeom prst="rect"/>
                  </pic:spPr>
                </pic:pic>
              </a:graphicData>
            </a:graphic>
          </wp:inline>
        </w:drawing>
      </w:r>
    </w:p>
    <w:p>
      <w:pPr>
        <w:spacing w:line="480" w:lineRule="auto" w:before="0" w:after="240"/>
        <w:jc w:val="center"/>
      </w:pPr>
      <w:r>
        <w:rPr>
          <w:rFonts w:ascii="Times New Roman" w:hAnsi="Times New Roman" w:eastAsia="맑은 고딕"/>
          <w:b/>
          <w:sz w:val="20"/>
        </w:rPr>
        <w:t>그림 4-6. Home Credit vs UCI German Credit 일반화 검증 — 4-mode × 양 데이터셋 핵심 지표 비교</w:t>
      </w:r>
    </w:p>
    <w:p>
      <w:pPr>
        <w:pStyle w:val="Heading2"/>
        <w:spacing w:line="480" w:lineRule="auto" w:before="360" w:after="240"/>
        <w:jc w:val="left"/>
      </w:pPr>
      <w:r>
        <w:rPr>
          <w:rFonts w:ascii="Times New Roman" w:hAnsi="Times New Roman" w:eastAsia="맑은 고딕"/>
          <w:b/>
          <w:color w:val="000000"/>
          <w:sz w:val="26"/>
        </w:rPr>
        <w:t>4.7 분석 결과 종합</w:t>
      </w:r>
    </w:p>
    <w:p>
      <w:pPr>
        <w:spacing w:line="480" w:lineRule="auto" w:before="0" w:after="120"/>
        <w:ind w:firstLine="283"/>
        <w:jc w:val="left"/>
      </w:pPr>
      <w:r>
        <w:rPr>
          <w:rFonts w:ascii="Times New Roman" w:hAnsi="Times New Roman" w:eastAsia="맑은 고딕"/>
          <w:b w:val="0"/>
          <w:sz w:val="22"/>
        </w:rPr>
        <w:t>본 장의 모든 결과를 종합하면 본 연구의 주요 발견은 다음과 같이 정리된다.</w:t>
      </w:r>
    </w:p>
    <w:p>
      <w:pPr>
        <w:spacing w:line="480" w:lineRule="auto" w:before="0" w:after="120"/>
        <w:ind w:firstLine="283"/>
        <w:jc w:val="left"/>
      </w:pPr>
      <w:r>
        <w:rPr>
          <w:rFonts w:ascii="Times New Roman" w:hAnsi="Times New Roman" w:eastAsia="맑은 고딕"/>
          <w:b w:val="0"/>
          <w:sz w:val="22"/>
        </w:rPr>
        <w:t>1. 모델 성능: XGBoost가 두 데이터셋 모두에서 0.75~0.78 범위의 AUROC를 보이며 메인 예측 모델로 적합하다. TabNet은 어텐션 추출용 보조 모델로 유효하다.</w:t>
      </w:r>
    </w:p>
    <w:p>
      <w:pPr>
        <w:spacing w:line="480" w:lineRule="auto" w:before="0" w:after="120"/>
        <w:ind w:firstLine="283"/>
        <w:jc w:val="left"/>
      </w:pPr>
      <w:r>
        <w:rPr>
          <w:rFonts w:ascii="Times New Roman" w:hAnsi="Times New Roman" w:eastAsia="맑은 고딕"/>
          <w:b w:val="0"/>
          <w:sz w:val="22"/>
        </w:rPr>
        <w:t>2. SHAP × 어텐션 ρ ≈ 0.11: 두 데이터셋에서 거의 동일한 약한 양의 상관이 일관되게 관찰되며, fusion 메커니즘의 정당성을 정량 입증한다.</w:t>
      </w:r>
    </w:p>
    <w:p>
      <w:pPr>
        <w:spacing w:line="480" w:lineRule="auto" w:before="0" w:after="120"/>
        <w:ind w:firstLine="283"/>
        <w:jc w:val="left"/>
      </w:pPr>
      <w:r>
        <w:rPr>
          <w:rFonts w:ascii="Times New Roman" w:hAnsi="Times New Roman" w:eastAsia="맑은 고딕"/>
          <w:b w:val="0"/>
          <w:sz w:val="22"/>
        </w:rPr>
        <w:t>3. NLI Entailment fusion 일관 1위: 두 데이터셋에서 단조 증가 패턴(no_shap &lt; generic_rag &lt; shaponly &lt; fusion)이 동일하게 관찰되며, fusion의 의미적 충실성 우월성이 입증된다.</w:t>
      </w:r>
    </w:p>
    <w:p>
      <w:pPr>
        <w:spacing w:line="480" w:lineRule="auto" w:before="0" w:after="120"/>
        <w:ind w:firstLine="283"/>
        <w:jc w:val="left"/>
      </w:pPr>
      <w:r>
        <w:rPr>
          <w:rFonts w:ascii="Times New Roman" w:hAnsi="Times New Roman" w:eastAsia="맑은 고딕"/>
          <w:b w:val="0"/>
          <w:sz w:val="22"/>
        </w:rPr>
        <w:t>4. 환각 차단 vs fact-grounding 분리: 환각률 0%는 hard constraint만으로 충분하며, fusion의 차별성은 fact-grounded 충실성과 값 정확 인용 에서 발견된다.</w:t>
      </w:r>
    </w:p>
    <w:p>
      <w:pPr>
        <w:spacing w:line="480" w:lineRule="auto" w:before="0" w:after="120"/>
        <w:ind w:firstLine="283"/>
        <w:jc w:val="left"/>
      </w:pPr>
      <w:r>
        <w:rPr>
          <w:rFonts w:ascii="Times New Roman" w:hAnsi="Times New Roman" w:eastAsia="맑은 고딕"/>
          <w:b w:val="0"/>
          <w:sz w:val="22"/>
        </w:rPr>
        <w:t>5. 사실성 vs 친화성 trade-off: Customer clarity에서 fusion(2.67) &lt; generic_rag(4.93)의 큰 격차가 관찰되며, 응용 시나리오별 mode 선택 trade-off 가 정량 입증된다.</w:t>
      </w:r>
    </w:p>
    <w:p>
      <w:pPr>
        <w:spacing w:line="480" w:lineRule="auto" w:before="0" w:after="120"/>
        <w:ind w:firstLine="283"/>
        <w:jc w:val="left"/>
      </w:pPr>
      <w:r>
        <w:rPr>
          <w:rFonts w:ascii="Times New Roman" w:hAnsi="Times New Roman" w:eastAsia="맑은 고딕"/>
          <w:b w:val="0"/>
          <w:sz w:val="22"/>
        </w:rPr>
        <w:t>6. Reweighing 공정성 4/4 통과: AUROC 손실 0.004 이내로 4가지 보호 속성 × 데이터셋 조합 모두에서 4/5 규칙을 통과한다.</w:t>
      </w:r>
    </w:p>
    <w:p>
      <w:pPr>
        <w:spacing w:line="480" w:lineRule="auto" w:before="0" w:after="120"/>
        <w:ind w:firstLine="283"/>
        <w:jc w:val="left"/>
      </w:pPr>
      <w:r>
        <w:rPr>
          <w:rFonts w:ascii="Times New Roman" w:hAnsi="Times New Roman" w:eastAsia="맑은 고딕"/>
          <w:b w:val="0"/>
          <w:sz w:val="22"/>
        </w:rPr>
        <w:t>다음 제7장에서는 이 결과들의 학술적 의미와 한계, 그리고 향후 연구 방향을 논의한다.</w:t>
      </w:r>
    </w:p>
    <w:p>
      <w:r>
        <w:br w:type="page"/>
      </w:r>
    </w:p>
    <w:p>
      <w:pPr>
        <w:pStyle w:val="Heading1"/>
        <w:spacing w:line="480" w:lineRule="auto" w:before="480" w:after="360"/>
        <w:jc w:val="center"/>
      </w:pPr>
      <w:r>
        <w:rPr>
          <w:rFonts w:ascii="Times New Roman" w:hAnsi="Times New Roman" w:eastAsia="맑은 고딕"/>
          <w:b/>
          <w:color w:val="000000"/>
          <w:sz w:val="32"/>
        </w:rPr>
        <w:t>제 5 장. 결론 및 시사점</w:t>
      </w:r>
    </w:p>
    <w:p>
      <w:pPr>
        <w:spacing w:line="480" w:lineRule="auto" w:before="0" w:after="240"/>
        <w:ind w:firstLine="283"/>
        <w:jc w:val="left"/>
      </w:pPr>
      <w:r>
        <w:rPr>
          <w:rFonts w:ascii="Times New Roman" w:hAnsi="Times New Roman" w:eastAsia="맑은 고딕"/>
          <w:b w:val="0"/>
          <w:sz w:val="22"/>
        </w:rPr>
        <w:t>본 장은 본 연구의 핵심 발견과 한계를 honest reporting의 관점에서 정리(5.1)하고, 이를 바탕으로 학술적·산업적 결론과 향후 연구 방향(5.2)을 제시한다.</w:t>
      </w:r>
    </w:p>
    <w:p>
      <w:pPr>
        <w:spacing w:line="480" w:lineRule="auto" w:before="0" w:after="120"/>
        <w:ind w:firstLine="283"/>
        <w:jc w:val="left"/>
      </w:pPr>
      <w:r>
        <w:rPr>
          <w:rFonts w:ascii="Times New Roman" w:hAnsi="Times New Roman" w:eastAsia="맑은 고딕"/>
          <w:b w:val="0"/>
          <w:sz w:val="22"/>
        </w:rPr>
        <w:t>본 장은 제6장의 분석 결과가 갖는 학술적·산업적 의미를 정리하고, 본 연구의 한계와 향후 연구 방향을 honest reporting 의 관점에서 명시적으로 논의한다.</w:t>
      </w:r>
    </w:p>
    <w:p>
      <w:pPr>
        <w:pStyle w:val="Heading3"/>
        <w:spacing w:line="480" w:lineRule="auto" w:before="240" w:after="120"/>
        <w:jc w:val="left"/>
      </w:pPr>
      <w:r>
        <w:rPr>
          <w:rFonts w:ascii="Times New Roman" w:hAnsi="Times New Roman" w:eastAsia="맑은 고딕"/>
          <w:b/>
          <w:color w:val="000000"/>
          <w:sz w:val="22"/>
        </w:rPr>
        <w:t>5.1.1 본 연구의 핵심 발견</w:t>
      </w:r>
    </w:p>
    <w:p>
      <w:pPr>
        <w:spacing w:line="480" w:lineRule="auto" w:before="0" w:after="120"/>
        <w:ind w:firstLine="283"/>
        <w:jc w:val="left"/>
      </w:pPr>
      <w:r>
        <w:rPr>
          <w:rFonts w:ascii="Times New Roman" w:hAnsi="Times New Roman" w:eastAsia="맑은 고딕"/>
          <w:b w:val="0"/>
          <w:sz w:val="22"/>
        </w:rPr>
        <w:t>#### (a) Fusion 메커니즘의 일관 우월성</w:t>
      </w:r>
    </w:p>
    <w:p>
      <w:pPr>
        <w:spacing w:line="480" w:lineRule="auto" w:before="0" w:after="120"/>
        <w:ind w:firstLine="283"/>
        <w:jc w:val="left"/>
      </w:pPr>
      <w:r>
        <w:rPr>
          <w:rFonts w:ascii="Times New Roman" w:hAnsi="Times New Roman" w:eastAsia="맑은 고딕"/>
          <w:b w:val="0"/>
          <w:sz w:val="22"/>
        </w:rPr>
        <w:t>본 연구가 제안한 동의 기반 융합 컨텍스트 는 NLI 함의도(entailment rate) 측면에서 두 데이터셋 모두에서 일관되게 1위를 차지하였다. Home Credit에서 0.625, UCI German Credit에서 0.711의 entailment를 보이며, 두 번째인 shaponly 모드 대비 약 0.10~0.15의 큰 차이를 보였다. 또한 4-mode 단조 증가 패턴(no_shap &lt; generic_rag &lt; shaponly &lt; fusion)이 두 데이터셋에서 동일하게 관찰되어, 본 연구의 메커니즘이 데이터셋 특수 패턴 이 아닌 신용평가 도메인의 일반 패턴 에 기반함을 강력히 시사한다.</w:t>
      </w:r>
    </w:p>
    <w:p>
      <w:pPr>
        <w:spacing w:line="480" w:lineRule="auto" w:before="0" w:after="120"/>
        <w:ind w:firstLine="283"/>
        <w:jc w:val="left"/>
      </w:pPr>
      <w:r>
        <w:rPr>
          <w:rFonts w:ascii="Times New Roman" w:hAnsi="Times New Roman" w:eastAsia="맑은 고딕"/>
          <w:b w:val="0"/>
          <w:sz w:val="22"/>
        </w:rPr>
        <w:t>이 발견은 RQ1 ("동의 기반 융합 컨텍스트가 LLM 자연어 설명의 사실 기반 충실성을 향상시키는가?")에 대한 직접적인 긍정 답변이며, RQ4 ("본 연구의 fusion 메커니즘은 다른 데이터셋에서도 일관된 패턴으로 작동하는가?")에 대한 일반화 검증의 결과이기도 하다.</w:t>
      </w:r>
    </w:p>
    <w:p>
      <w:pPr>
        <w:spacing w:line="480" w:lineRule="auto" w:before="0" w:after="120"/>
        <w:ind w:firstLine="283"/>
        <w:jc w:val="left"/>
      </w:pPr>
      <w:r>
        <w:rPr>
          <w:rFonts w:ascii="Times New Roman" w:hAnsi="Times New Roman" w:eastAsia="맑은 고딕"/>
          <w:b w:val="0"/>
          <w:sz w:val="22"/>
        </w:rPr>
        <w:t>#### (b) 환각 차단과 fact-grounding의 분리</w:t>
      </w:r>
    </w:p>
    <w:p>
      <w:pPr>
        <w:spacing w:line="480" w:lineRule="auto" w:before="0" w:after="120"/>
        <w:ind w:firstLine="283"/>
        <w:jc w:val="left"/>
      </w:pPr>
      <w:r>
        <w:rPr>
          <w:rFonts w:ascii="Times New Roman" w:hAnsi="Times New Roman" w:eastAsia="맑은 고딕"/>
          <w:b w:val="0"/>
          <w:sz w:val="22"/>
        </w:rPr>
        <w:t>본 연구의 가장 의미 있는 학술적 발견 중 하나는 환각 차단 과 fact-grounded 충실성 이 별개의 차원이라는 점을 정량적으로 입증한 것이다. 4-mode 모두에서 환각률 0%가 달성되었으나, NLI Entailment Rate와 Value Match Rate는 모드 간에 큰 차이를 보였다. 즉 환각 차단은 hard constraint만으로 충분조건 이지만, fact-grounded 의미적 충실성은 융합 컨텍스트가 필수 이다.</w:t>
      </w:r>
    </w:p>
    <w:p>
      <w:pPr>
        <w:spacing w:line="480" w:lineRule="auto" w:before="0" w:after="120"/>
        <w:ind w:firstLine="283"/>
        <w:jc w:val="left"/>
      </w:pPr>
      <w:r>
        <w:rPr>
          <w:rFonts w:ascii="Times New Roman" w:hAnsi="Times New Roman" w:eastAsia="맑은 고딕"/>
          <w:b w:val="0"/>
          <w:sz w:val="22"/>
        </w:rPr>
        <w:t>이는 본 연구의 메시지를 정교화하는 핵심 근거이다. 만약 본 연구가 "환각률 0%" 만을 강조하였다면, 이는 hard constraint 정책의 결과로 trivial하게 반박 가능하다. 그러나 환각률 0%는 baseline에서도 충족되며, fusion의 진정한 차별성은 fact-grounded 충실성에 있다 는 메시지는 본 연구의 학술적 기여를 명확히 한다.</w:t>
      </w:r>
    </w:p>
    <w:p>
      <w:pPr>
        <w:spacing w:line="480" w:lineRule="auto" w:before="0" w:after="120"/>
        <w:ind w:firstLine="283"/>
        <w:jc w:val="left"/>
      </w:pPr>
      <w:r>
        <w:rPr>
          <w:rFonts w:ascii="Times New Roman" w:hAnsi="Times New Roman" w:eastAsia="맑은 고딕"/>
          <w:b w:val="0"/>
          <w:sz w:val="22"/>
        </w:rPr>
        <w:t>#### (c) 데이터 복잡도에 따른 모드 선택 trade-off</w:t>
      </w:r>
    </w:p>
    <w:p>
      <w:pPr>
        <w:spacing w:line="480" w:lineRule="auto" w:before="0" w:after="120"/>
        <w:ind w:firstLine="283"/>
        <w:jc w:val="left"/>
      </w:pPr>
      <w:r>
        <w:rPr>
          <w:rFonts w:ascii="Times New Roman" w:hAnsi="Times New Roman" w:eastAsia="맑은 고딕"/>
          <w:b w:val="0"/>
          <w:sz w:val="22"/>
        </w:rPr>
        <w:t>UCI German Credit의 G-Eval Completeness 결과는 본 연구의 메시지에 데이터 복잡도 차원을 추가하는 중요한 발견이다. Home Credit (214 features)에서는 fusion이 Completeness 1위 (4.82)이지만, UCI German Credit (63 features)에서는 generic_rag가 1위 (4.58)이며 fusion은 4위 (3.77)에 그친다.</w:t>
      </w:r>
    </w:p>
    <w:p>
      <w:pPr>
        <w:spacing w:line="480" w:lineRule="auto" w:before="0" w:after="120"/>
        <w:ind w:firstLine="283"/>
        <w:jc w:val="left"/>
      </w:pPr>
      <w:r>
        <w:rPr>
          <w:rFonts w:ascii="Times New Roman" w:hAnsi="Times New Roman" w:eastAsia="맑은 고딕"/>
          <w:b w:val="0"/>
          <w:sz w:val="22"/>
        </w:rPr>
        <w:t>이 차이는 fusion의 추가 정보(SHAP 부호, agreement 라벨)가 복잡한 도메인에서는 충실성 향상에 기여하지만, 단순 도메인에서는 LLM judge가 over-claim으로 인지 하여 점수가 낮아질 수 있음을 시사한다. 즉 본 연구의 메커니즘 효과는 데이터의 복잡도와 LLM judge의 평가 기준에 따라 조건부 일 수 있다.</w:t>
      </w:r>
    </w:p>
    <w:p>
      <w:pPr>
        <w:spacing w:line="480" w:lineRule="auto" w:before="0" w:after="120"/>
        <w:ind w:firstLine="283"/>
        <w:jc w:val="left"/>
      </w:pPr>
      <w:r>
        <w:rPr>
          <w:rFonts w:ascii="Times New Roman" w:hAnsi="Times New Roman" w:eastAsia="맑은 고딕"/>
          <w:b w:val="0"/>
          <w:sz w:val="22"/>
        </w:rPr>
        <w:t>#### (d) 사실성과 친화성의 trade-off</w:t>
      </w:r>
    </w:p>
    <w:p>
      <w:pPr>
        <w:spacing w:line="480" w:lineRule="auto" w:before="0" w:after="120"/>
        <w:ind w:firstLine="283"/>
        <w:jc w:val="left"/>
      </w:pPr>
      <w:r>
        <w:rPr>
          <w:rFonts w:ascii="Times New Roman" w:hAnsi="Times New Roman" w:eastAsia="맑은 고딕"/>
          <w:b w:val="0"/>
          <w:sz w:val="22"/>
        </w:rPr>
        <w:t>Step 5-C에서 발견된 페르소나 평가 결과는 본 연구의 가장 honest 한 발견이다. 사실성(NLI/G-Eval)에서 1위인 fusion이 Customer clarity 차원에서는 2.67로 최하위 를 차지하며, 일반 도메인 지식만으로 구성된 generic_rag가 4.93으로 1위를 차지한다.</w:t>
      </w:r>
    </w:p>
    <w:p>
      <w:pPr>
        <w:spacing w:line="480" w:lineRule="auto" w:before="0" w:after="120"/>
        <w:ind w:firstLine="283"/>
        <w:jc w:val="left"/>
      </w:pPr>
      <w:r>
        <w:rPr>
          <w:rFonts w:ascii="Times New Roman" w:hAnsi="Times New Roman" w:eastAsia="맑은 고딕"/>
          <w:b w:val="0"/>
          <w:sz w:val="22"/>
        </w:rPr>
        <w:t>이 trade-off는 본 연구가 fusion 메커니즘을 모든 차원에서 우월한 단일 해결책 으로 주장하지 않게 하는 honest 근거이다. 대신 본 연구는 응용 시나리오에 따른 mode 선택 가이드라인 을 제시한다.</w:t>
      </w:r>
    </w:p>
    <w:p>
      <w:pPr>
        <w:pStyle w:val="Heading3"/>
        <w:spacing w:line="480" w:lineRule="auto" w:before="240" w:after="120"/>
        <w:jc w:val="left"/>
      </w:pPr>
      <w:r>
        <w:rPr>
          <w:rFonts w:ascii="Times New Roman" w:hAnsi="Times New Roman" w:eastAsia="맑은 고딕"/>
          <w:b/>
          <w:color w:val="000000"/>
          <w:sz w:val="22"/>
        </w:rPr>
        <w:t>5.1.2 응용 시사점</w:t>
      </w:r>
    </w:p>
    <w:p>
      <w:pPr>
        <w:spacing w:line="480" w:lineRule="auto" w:before="0" w:after="120"/>
        <w:ind w:firstLine="283"/>
        <w:jc w:val="left"/>
      </w:pPr>
      <w:r>
        <w:rPr>
          <w:rFonts w:ascii="Times New Roman" w:hAnsi="Times New Roman" w:eastAsia="맑은 고딕"/>
          <w:b w:val="0"/>
          <w:sz w:val="22"/>
        </w:rPr>
        <w:t>#### (a) 응용 시나리오별 모드 선택 가이드</w:t>
      </w:r>
    </w:p>
    <w:p>
      <w:pPr>
        <w:spacing w:line="480" w:lineRule="auto" w:before="0" w:after="120"/>
        <w:ind w:firstLine="283"/>
        <w:jc w:val="left"/>
      </w:pPr>
      <w:r>
        <w:rPr>
          <w:rFonts w:ascii="Times New Roman" w:hAnsi="Times New Roman" w:eastAsia="맑은 고딕"/>
          <w:b w:val="0"/>
          <w:sz w:val="22"/>
        </w:rPr>
        <w:t>본 연구의 결과는 신용평가 자연어 설명 시스템의 응용 시나리오별로 다음과 같은 모드 선택을 제시한다.</w:t>
      </w:r>
    </w:p>
    <w:p>
      <w:pPr>
        <w:spacing w:line="480" w:lineRule="auto" w:before="0" w:after="120"/>
        <w:ind w:firstLine="283"/>
        <w:jc w:val="left"/>
      </w:pPr>
      <w:r>
        <w:rPr>
          <w:rFonts w:ascii="Times New Roman" w:hAnsi="Times New Roman" w:eastAsia="맑은 고딕"/>
          <w:b w:val="0"/>
          <w:sz w:val="22"/>
        </w:rPr>
        <w:t>• Audit / 규제 준수 / 내부 감사: fusion 모드 권장. NLI 사실성 1위, G-Eval Completeness 1위(복잡한 도메인), Credit Expert·Regulator 페르소나의 trustworthiness 1위. 두 해석 모델의 동의 정보가 감사 추적성을 강화한다.</w:t>
      </w:r>
    </w:p>
    <w:p>
      <w:pPr>
        <w:spacing w:line="480" w:lineRule="auto" w:before="0" w:after="120"/>
        <w:ind w:firstLine="283"/>
        <w:jc w:val="left"/>
      </w:pPr>
      <w:r>
        <w:rPr>
          <w:rFonts w:ascii="Times New Roman" w:hAnsi="Times New Roman" w:eastAsia="맑은 고딕"/>
          <w:b w:val="0"/>
          <w:sz w:val="22"/>
        </w:rPr>
        <w:t>• 고객 응대 / Customer-facing: generic_rag 모드 권장. Customer clarity 1위(4.93), 표현이 친근하고 도메인 지식이 자연스럽게 설명된다. 단 인스턴스 수준의 정확성이 fusion 대비 떨어질 수 있음을 인지하고, 중요 결정의 인용 보다는 안내 측면에서 활용해야 한다.</w:t>
      </w:r>
    </w:p>
    <w:p>
      <w:pPr>
        <w:spacing w:line="480" w:lineRule="auto" w:before="0" w:after="120"/>
        <w:ind w:firstLine="283"/>
        <w:jc w:val="left"/>
      </w:pPr>
      <w:r>
        <w:rPr>
          <w:rFonts w:ascii="Times New Roman" w:hAnsi="Times New Roman" w:eastAsia="맑은 고딕"/>
          <w:b w:val="0"/>
          <w:sz w:val="22"/>
        </w:rPr>
        <w:t>• 소수 정형 데이터셋 (≤ 100 features): 데이터 복잡도가 낮은 경우 generic_rag와 fusion의 차이가 작을 수 있음. 학술적 신뢰성이 핵심이라면 fusion, 운영 단순성이 핵심이라면 generic_rag.</w:t>
      </w:r>
    </w:p>
    <w:p>
      <w:pPr>
        <w:spacing w:line="480" w:lineRule="auto" w:before="0" w:after="120"/>
        <w:ind w:firstLine="283"/>
        <w:jc w:val="left"/>
      </w:pPr>
      <w:r>
        <w:rPr>
          <w:rFonts w:ascii="Times New Roman" w:hAnsi="Times New Roman" w:eastAsia="맑은 고딕"/>
          <w:b w:val="0"/>
          <w:sz w:val="22"/>
        </w:rPr>
        <w:t>#### (b) hard constraint의 산업 적용</w:t>
      </w:r>
    </w:p>
    <w:p>
      <w:pPr>
        <w:spacing w:line="480" w:lineRule="auto" w:before="0" w:after="120"/>
        <w:ind w:firstLine="283"/>
        <w:jc w:val="left"/>
      </w:pPr>
      <w:r>
        <w:rPr>
          <w:rFonts w:ascii="Times New Roman" w:hAnsi="Times New Roman" w:eastAsia="맑은 고딕"/>
          <w:b w:val="0"/>
          <w:sz w:val="22"/>
        </w:rPr>
        <w:t>본 연구의 환각률 0% 달성은 hard constraint 정책의 산업 적용 가능성을 직접적으로 시사한다. 5가지 항목의 단순한 자연어 제약문(컨텍스트 외부 정보 생성 금지, 의료/법률 자문 금지, 민감 변수 직접 언급 금지, 컨텍스트 driver 우선 선택, SHAP 부호 정확 반영)만으로 환각이 안정적으로 차단되며, 이는 LLM 기반 신용평가 자동화 시스템의 산업 적용에 중요한 근거가 된다.</w:t>
      </w:r>
    </w:p>
    <w:p>
      <w:pPr>
        <w:spacing w:line="480" w:lineRule="auto" w:before="0" w:after="120"/>
        <w:ind w:firstLine="283"/>
        <w:jc w:val="left"/>
      </w:pPr>
      <w:r>
        <w:rPr>
          <w:rFonts w:ascii="Times New Roman" w:hAnsi="Times New Roman" w:eastAsia="맑은 고딕"/>
          <w:b w:val="0"/>
          <w:sz w:val="22"/>
        </w:rPr>
        <w:t>#### (c) 공정성 보정의 무손실 적용</w:t>
      </w:r>
    </w:p>
    <w:p>
      <w:pPr>
        <w:spacing w:line="480" w:lineRule="auto" w:before="0" w:after="120"/>
        <w:ind w:firstLine="283"/>
        <w:jc w:val="left"/>
      </w:pPr>
      <w:r>
        <w:rPr>
          <w:rFonts w:ascii="Times New Roman" w:hAnsi="Times New Roman" w:eastAsia="맑은 고딕"/>
          <w:b w:val="0"/>
          <w:sz w:val="22"/>
        </w:rPr>
        <w:t>Reweighing의 4/4 통과 결과는 공정성 보정이 모델 성능 손실 없이 가능함을 입증한다. 특히 aux 데이터셋(보조 테이블 추가)에서 GENDER에 대한 Reweighing은 AUROC를 오히려 +0.003 향상시키면서도 Disparate Impact ratio를 0.643에서 0.867로 끌어올렸다. 이는 신용평가 산업의 공정성 규제 준수에 직접적인 시사점을 제공한다.</w:t>
      </w:r>
    </w:p>
    <w:p>
      <w:pPr>
        <w:pStyle w:val="Heading3"/>
        <w:spacing w:line="480" w:lineRule="auto" w:before="240" w:after="120"/>
        <w:jc w:val="left"/>
      </w:pPr>
      <w:r>
        <w:rPr>
          <w:rFonts w:ascii="Times New Roman" w:hAnsi="Times New Roman" w:eastAsia="맑은 고딕"/>
          <w:b/>
          <w:color w:val="000000"/>
          <w:sz w:val="22"/>
        </w:rPr>
        <w:t>5.1.3 본 연구의 한계 (Honest Reporting)</w:t>
      </w:r>
    </w:p>
    <w:p>
      <w:pPr>
        <w:spacing w:line="480" w:lineRule="auto" w:before="0" w:after="120"/>
        <w:ind w:firstLine="283"/>
        <w:jc w:val="left"/>
      </w:pPr>
      <w:r>
        <w:rPr>
          <w:rFonts w:ascii="Times New Roman" w:hAnsi="Times New Roman" w:eastAsia="맑은 고딕"/>
          <w:b w:val="0"/>
          <w:sz w:val="22"/>
        </w:rPr>
        <w:t>본 연구는 제한된 자원과 시간 범위 내에서 수행된 석사학위 연구로, 다음과 같은 명시적 한계를 갖는다.</w:t>
      </w:r>
    </w:p>
    <w:p>
      <w:pPr>
        <w:spacing w:line="480" w:lineRule="auto" w:before="0" w:after="120"/>
        <w:ind w:firstLine="283"/>
        <w:jc w:val="left"/>
      </w:pPr>
      <w:r>
        <w:rPr>
          <w:rFonts w:ascii="Times New Roman" w:hAnsi="Times New Roman" w:eastAsia="맑은 고딕"/>
          <w:b w:val="0"/>
          <w:sz w:val="22"/>
        </w:rPr>
        <w:t>#### (a) 표본 크기의 한계</w:t>
      </w:r>
    </w:p>
    <w:p>
      <w:pPr>
        <w:spacing w:line="480" w:lineRule="auto" w:before="0" w:after="120"/>
        <w:ind w:firstLine="283"/>
        <w:jc w:val="left"/>
      </w:pPr>
      <w:r>
        <w:rPr>
          <w:rFonts w:ascii="Times New Roman" w:hAnsi="Times New Roman" w:eastAsia="맑은 고딕"/>
          <w:b w:val="0"/>
          <w:sz w:val="22"/>
        </w:rPr>
        <w:t>본 연구의 4-mode 자연어 설명 평가는 동일한 30개 인스턴스에 대해 4 modes × 2 LLM = 240건의 호출로 수행되었다. 페르소나 평가에서는 15 instances × 4 modes × 2 LLM × 3 personas = 360 평가 시도로 확장되었으나, 통계적 검정의 power 측면에서 mode 간 차이의 통계적 유의성 을 엄밀히 확보하기에는 부족할 수 있다. 본 연구는 이 한계를 명시하며, 표본 30 → 100으로의 확장을 향후 연구 방향으로 제시한다.</w:t>
      </w:r>
    </w:p>
    <w:p>
      <w:pPr>
        <w:spacing w:line="480" w:lineRule="auto" w:before="0" w:after="120"/>
        <w:ind w:firstLine="283"/>
        <w:jc w:val="left"/>
      </w:pPr>
      <w:r>
        <w:rPr>
          <w:rFonts w:ascii="Times New Roman" w:hAnsi="Times New Roman" w:eastAsia="맑은 고딕"/>
          <w:b w:val="0"/>
          <w:sz w:val="22"/>
        </w:rPr>
        <w:t>#### (b) 정식 IRB 인간평가의 부재</w:t>
      </w:r>
    </w:p>
    <w:p>
      <w:pPr>
        <w:spacing w:line="480" w:lineRule="auto" w:before="0" w:after="120"/>
        <w:ind w:firstLine="283"/>
        <w:jc w:val="left"/>
      </w:pPr>
      <w:r>
        <w:rPr>
          <w:rFonts w:ascii="Times New Roman" w:hAnsi="Times New Roman" w:eastAsia="맑은 고딕"/>
          <w:b w:val="0"/>
          <w:sz w:val="22"/>
        </w:rPr>
        <w:t>본 연구는 정식 인간 평가(human evaluation)를 IRB(Institutional Review Board) 승인 부담과 시간 제약으로 LLM 페르소나 대리(proxy) 평가 로 대체하였다. LLM이 페르소나의 관점을 정확히 시뮬레이션할 수 있는지에 대한 자체적 검증은 본 연구의 범위를 벗어나며, 페르소나 평가 결과는 예비 신호 의 위상에서 해석되어야 한다. 정식 IRB 승인을 받은 다수 평가자 대상 인간 평가는 향후 연구의 핵심 과제이다.</w:t>
      </w:r>
    </w:p>
    <w:p>
      <w:pPr>
        <w:spacing w:line="480" w:lineRule="auto" w:before="0" w:after="120"/>
        <w:ind w:firstLine="283"/>
        <w:jc w:val="left"/>
      </w:pPr>
      <w:r>
        <w:rPr>
          <w:rFonts w:ascii="Times New Roman" w:hAnsi="Times New Roman" w:eastAsia="맑은 고딕"/>
          <w:b w:val="0"/>
          <w:sz w:val="22"/>
        </w:rPr>
        <w:t>#### (c) Hard Constraint 의존성</w:t>
      </w:r>
    </w:p>
    <w:p>
      <w:pPr>
        <w:spacing w:line="480" w:lineRule="auto" w:before="0" w:after="120"/>
        <w:ind w:firstLine="283"/>
        <w:jc w:val="left"/>
      </w:pPr>
      <w:r>
        <w:rPr>
          <w:rFonts w:ascii="Times New Roman" w:hAnsi="Times New Roman" w:eastAsia="맑은 고딕"/>
          <w:b w:val="0"/>
          <w:sz w:val="22"/>
        </w:rPr>
        <w:t>본 연구의 환각률 0% 결과는 hard constraint 정책의 결과이며, 이를 제거할 경우 환각이 발생할 수 있음을 Step 1의 counterfactual 실험에서 확인하였다(Gemini의 경우 환각률 45.5%). 따라서 본 연구의 메시지는 hard constraint와 fusion 컨텍스트의 결합 이 환각 차단과 fact-grounding을 동시에 달성한다는 조건부 메시지 이다. Hard constraint 없이 환각을 차단하는 일반적 LLM 메커니즘은 본 연구의 범위를 벗어난다.</w:t>
      </w:r>
    </w:p>
    <w:p>
      <w:pPr>
        <w:spacing w:line="480" w:lineRule="auto" w:before="0" w:after="120"/>
        <w:ind w:firstLine="283"/>
        <w:jc w:val="left"/>
      </w:pPr>
      <w:r>
        <w:rPr>
          <w:rFonts w:ascii="Times New Roman" w:hAnsi="Times New Roman" w:eastAsia="맑은 고딕"/>
          <w:b w:val="0"/>
          <w:sz w:val="22"/>
        </w:rPr>
        <w:t>#### (d) Customer Clarity 약점</w:t>
      </w:r>
    </w:p>
    <w:p>
      <w:pPr>
        <w:spacing w:line="480" w:lineRule="auto" w:before="0" w:after="120"/>
        <w:ind w:firstLine="283"/>
        <w:jc w:val="left"/>
      </w:pPr>
      <w:r>
        <w:rPr>
          <w:rFonts w:ascii="Times New Roman" w:hAnsi="Times New Roman" w:eastAsia="맑은 고딕"/>
          <w:b w:val="0"/>
          <w:sz w:val="22"/>
        </w:rPr>
        <w:t>본 연구의 fusion 메커니즘은 Customer 페르소나 clarity에서 2.67로 최하위 를 차지한다. 이는 SHAP 부호와 agreement 라벨이 일반 고객에게는 이해 장벽이 됨을 시사한다. 본 한계는 향후 Customer-friendly 표현 정제 연구를 통해 부분적으로 보완할 수 있을 것으로 예상된다(7.4.4절 참조).</w:t>
      </w:r>
    </w:p>
    <w:p>
      <w:pPr>
        <w:spacing w:line="480" w:lineRule="auto" w:before="0" w:after="120"/>
        <w:ind w:firstLine="283"/>
        <w:jc w:val="left"/>
      </w:pPr>
      <w:r>
        <w:rPr>
          <w:rFonts w:ascii="Times New Roman" w:hAnsi="Times New Roman" w:eastAsia="맑은 고딕"/>
          <w:b w:val="0"/>
          <w:sz w:val="22"/>
        </w:rPr>
        <w:t>#### (e) 한국어 humanize 매핑 의존성</w:t>
      </w:r>
    </w:p>
    <w:p>
      <w:pPr>
        <w:spacing w:line="480" w:lineRule="auto" w:before="0" w:after="120"/>
        <w:ind w:firstLine="283"/>
        <w:jc w:val="left"/>
      </w:pPr>
      <w:r>
        <w:rPr>
          <w:rFonts w:ascii="Times New Roman" w:hAnsi="Times New Roman" w:eastAsia="맑은 고딕"/>
          <w:b w:val="0"/>
          <w:sz w:val="22"/>
        </w:rPr>
        <w:t>본 연구는 두 데이터셋 모두에서 영문 변수명을 한국어 라벨로 수동 매핑 하여 사용자 친화적 표현을 구현하였다(예: EXT_SOURCE_3 → "외부 신용평가 점수 3"; checking_status_no_checking → "체크 계좌 없음"). 자동 한국어 변환 framework가 부재하므로, 새 도메인이나 새 데이터셋에 적용 시 매핑 작업이 추가로 필요하다. 다국어 LLM의 추론 능력을 활용한 자동 변환 모듈은 향후 연구 과제이다.</w:t>
      </w:r>
    </w:p>
    <w:p>
      <w:pPr>
        <w:spacing w:line="480" w:lineRule="auto" w:before="0" w:after="120"/>
        <w:ind w:firstLine="283"/>
        <w:jc w:val="left"/>
      </w:pPr>
      <w:r>
        <w:rPr>
          <w:rFonts w:ascii="Times New Roman" w:hAnsi="Times New Roman" w:eastAsia="맑은 고딕"/>
          <w:b w:val="0"/>
          <w:sz w:val="22"/>
        </w:rPr>
        <w:t>#### (f) 평가 도구 자체의 한계</w:t>
      </w:r>
    </w:p>
    <w:p>
      <w:pPr>
        <w:spacing w:line="480" w:lineRule="auto" w:before="0" w:after="120"/>
        <w:ind w:firstLine="283"/>
        <w:jc w:val="left"/>
      </w:pPr>
      <w:r>
        <w:rPr>
          <w:rFonts w:ascii="Times New Roman" w:hAnsi="Times New Roman" w:eastAsia="맑은 고딕"/>
          <w:b w:val="0"/>
          <w:sz w:val="22"/>
        </w:rPr>
        <w:t>본 연구의 평가 도구들 또한 각자의 한계를 갖는다. 룰 기반 평가는 표현 다양성을 충분히 잡지 못하며, NLI 모델은 mDeBERTa-v3 단일 모델에 의존한다. G-Eval 또한 LLM judge의 self-bias 위험을 cross-judge로만 부분 완화한 상태이다. 다중 NLI 모델 비교, 다중 LLM judge ensemble 등은 본 연구의 평가 신뢰성을 더 강화할 수 있는 방향이다.</w:t>
      </w:r>
    </w:p>
    <w:p>
      <w:pPr>
        <w:pStyle w:val="Heading3"/>
        <w:spacing w:line="480" w:lineRule="auto" w:before="240" w:after="120"/>
        <w:jc w:val="left"/>
      </w:pPr>
      <w:r>
        <w:rPr>
          <w:rFonts w:ascii="Times New Roman" w:hAnsi="Times New Roman" w:eastAsia="맑은 고딕"/>
          <w:b/>
          <w:color w:val="000000"/>
          <w:sz w:val="22"/>
        </w:rPr>
        <w:t>5.1.4 향후 연구 방향</w:t>
      </w:r>
    </w:p>
    <w:p>
      <w:pPr>
        <w:spacing w:line="480" w:lineRule="auto" w:before="0" w:after="120"/>
        <w:ind w:firstLine="283"/>
        <w:jc w:val="left"/>
      </w:pPr>
      <w:r>
        <w:rPr>
          <w:rFonts w:ascii="Times New Roman" w:hAnsi="Times New Roman" w:eastAsia="맑은 고딕"/>
          <w:b w:val="0"/>
          <w:sz w:val="22"/>
        </w:rPr>
        <w:t>본 연구의 한계와 발견을 바탕으로 다음 연구 방향을 제시한다.</w:t>
      </w:r>
    </w:p>
    <w:p>
      <w:pPr>
        <w:spacing w:line="480" w:lineRule="auto" w:before="0" w:after="120"/>
        <w:ind w:firstLine="283"/>
        <w:jc w:val="left"/>
      </w:pPr>
      <w:r>
        <w:rPr>
          <w:rFonts w:ascii="Times New Roman" w:hAnsi="Times New Roman" w:eastAsia="맑은 고딕"/>
          <w:b w:val="0"/>
          <w:sz w:val="22"/>
        </w:rPr>
        <w:t>#### (a) 정식 IRB 인간 평가</w:t>
      </w:r>
    </w:p>
    <w:p>
      <w:pPr>
        <w:spacing w:line="480" w:lineRule="auto" w:before="0" w:after="120"/>
        <w:ind w:firstLine="283"/>
        <w:jc w:val="left"/>
      </w:pPr>
      <w:r>
        <w:rPr>
          <w:rFonts w:ascii="Times New Roman" w:hAnsi="Times New Roman" w:eastAsia="맑은 고딕"/>
          <w:b w:val="0"/>
          <w:sz w:val="22"/>
        </w:rPr>
        <w:t>본 연구의 가장 시급한 향후 과제는 정식 IRB 승인을 받은 다수 평가자 대상 인간 평가 이다. Credit Expert(은행 신용 심사 담당자), Customer(일반 신용 신청자), Regulator(금융감독원/금융위 담당자) 각 5~10명 규모의 평가자를 모집하여 5점 척도 평가를 수행하고, Cohen's κ 또는 Krippendorff's α 등 평가자 간 일치도를 함께 보고하는 것이 권장된다. 이는 약점 #2 (LLM 평가 객관성)의 완전 해소에 직접 기여할 것이다.</w:t>
      </w:r>
    </w:p>
    <w:p>
      <w:pPr>
        <w:spacing w:line="480" w:lineRule="auto" w:before="0" w:after="120"/>
        <w:ind w:firstLine="283"/>
        <w:jc w:val="left"/>
      </w:pPr>
      <w:r>
        <w:rPr>
          <w:rFonts w:ascii="Times New Roman" w:hAnsi="Times New Roman" w:eastAsia="맑은 고딕"/>
          <w:b w:val="0"/>
          <w:sz w:val="22"/>
        </w:rPr>
        <w:t>#### (b) 추가 데이터셋 일반화</w:t>
      </w:r>
    </w:p>
    <w:p>
      <w:pPr>
        <w:spacing w:line="480" w:lineRule="auto" w:before="0" w:after="120"/>
        <w:ind w:firstLine="283"/>
        <w:jc w:val="left"/>
      </w:pPr>
      <w:r>
        <w:rPr>
          <w:rFonts w:ascii="Times New Roman" w:hAnsi="Times New Roman" w:eastAsia="맑은 고딕"/>
          <w:b w:val="0"/>
          <w:sz w:val="22"/>
        </w:rPr>
        <w:t>본 연구는 Home Credit과 UCI German Credit 두 데이터셋에서의 일반화를 입증하였으나, 더 다양한 환경에서의 검증이 가능하다. 후보 데이터셋으로는 다음과 같은 것들이 있다.</w:t>
      </w:r>
    </w:p>
    <w:p>
      <w:pPr>
        <w:spacing w:line="480" w:lineRule="auto" w:before="0" w:after="120"/>
        <w:ind w:firstLine="283"/>
        <w:jc w:val="left"/>
      </w:pPr>
      <w:r>
        <w:rPr>
          <w:rFonts w:ascii="Times New Roman" w:hAnsi="Times New Roman" w:eastAsia="맑은 고딕"/>
          <w:b w:val="0"/>
          <w:sz w:val="22"/>
        </w:rPr>
        <w:t>• UCI Australian Credit (690 × 14): 중간 복잡도, 호주 신용평가 도메인</w:t>
      </w:r>
    </w:p>
    <w:p>
      <w:pPr>
        <w:spacing w:line="480" w:lineRule="auto" w:before="0" w:after="120"/>
        <w:ind w:firstLine="283"/>
        <w:jc w:val="left"/>
      </w:pPr>
      <w:r>
        <w:rPr>
          <w:rFonts w:ascii="Times New Roman" w:hAnsi="Times New Roman" w:eastAsia="맑은 고딕"/>
          <w:b w:val="0"/>
          <w:sz w:val="22"/>
        </w:rPr>
        <w:t>• Lending Club (~1.3M × 150): 미국 P2P 대출 도메인, 대규모</w:t>
      </w:r>
    </w:p>
    <w:p>
      <w:pPr>
        <w:spacing w:line="480" w:lineRule="auto" w:before="0" w:after="120"/>
        <w:ind w:firstLine="283"/>
        <w:jc w:val="left"/>
      </w:pPr>
      <w:r>
        <w:rPr>
          <w:rFonts w:ascii="Times New Roman" w:hAnsi="Times New Roman" w:eastAsia="맑은 고딕"/>
          <w:b w:val="0"/>
          <w:sz w:val="22"/>
        </w:rPr>
        <w:t>• Korea Credit Bureau 합성 데이터: 한국 신용평가 도메인 (구할 수 있는 경우)</w:t>
      </w:r>
    </w:p>
    <w:p>
      <w:pPr>
        <w:spacing w:line="480" w:lineRule="auto" w:before="0" w:after="120"/>
        <w:ind w:firstLine="283"/>
        <w:jc w:val="left"/>
      </w:pPr>
      <w:r>
        <w:rPr>
          <w:rFonts w:ascii="Times New Roman" w:hAnsi="Times New Roman" w:eastAsia="맑은 고딕"/>
          <w:b w:val="0"/>
          <w:sz w:val="22"/>
        </w:rPr>
        <w:t>각 데이터셋에서 본 연구의 메커니즘 일반화를 추가 검증하면, 데이터 복잡도 × 도메인 × 부도율 의 다차원 환경에서 mode 선택 가이드를 더 견고히 할 수 있다.</w:t>
      </w:r>
    </w:p>
    <w:p>
      <w:pPr>
        <w:spacing w:line="480" w:lineRule="auto" w:before="0" w:after="120"/>
        <w:ind w:firstLine="283"/>
        <w:jc w:val="left"/>
      </w:pPr>
      <w:r>
        <w:rPr>
          <w:rFonts w:ascii="Times New Roman" w:hAnsi="Times New Roman" w:eastAsia="맑은 고딕"/>
          <w:b w:val="0"/>
          <w:sz w:val="22"/>
        </w:rPr>
        <w:t>#### (c) 3-way Ablation (Attention 단독 검증)</w:t>
      </w:r>
    </w:p>
    <w:p>
      <w:pPr>
        <w:spacing w:line="480" w:lineRule="auto" w:before="0" w:after="120"/>
        <w:ind w:firstLine="283"/>
        <w:jc w:val="left"/>
      </w:pPr>
      <w:r>
        <w:rPr>
          <w:rFonts w:ascii="Times New Roman" w:hAnsi="Times New Roman" w:eastAsia="맑은 고딕"/>
          <w:b w:val="0"/>
          <w:sz w:val="22"/>
        </w:rPr>
        <w:t>본 연구는 shaponly 와 fusion 의 비교를 수행하였으나, attention_only 단독 모드는 별도로 검증하지 않았다. no_shap / attention_only / shaponly / fusion 의 4-mode를 추가 비교하면, fusion 우월성이 attention의 추가적 기여인지 단순 union 효과인지 를 isolate할 수 있다. 이는 본 연구 메커니즘의 정확한 분해 분석으로 향후 연구의 핵심 과제이다.</w:t>
      </w:r>
    </w:p>
    <w:p>
      <w:pPr>
        <w:spacing w:line="480" w:lineRule="auto" w:before="0" w:after="120"/>
        <w:ind w:firstLine="283"/>
        <w:jc w:val="left"/>
      </w:pPr>
      <w:r>
        <w:rPr>
          <w:rFonts w:ascii="Times New Roman" w:hAnsi="Times New Roman" w:eastAsia="맑은 고딕"/>
          <w:b w:val="0"/>
          <w:sz w:val="22"/>
        </w:rPr>
        <w:t>#### (d) Customer-friendly 표현 정제</w:t>
      </w:r>
    </w:p>
    <w:p>
      <w:pPr>
        <w:spacing w:line="480" w:lineRule="auto" w:before="0" w:after="120"/>
        <w:ind w:firstLine="283"/>
        <w:jc w:val="left"/>
      </w:pPr>
      <w:r>
        <w:rPr>
          <w:rFonts w:ascii="Times New Roman" w:hAnsi="Times New Roman" w:eastAsia="맑은 고딕"/>
          <w:b w:val="0"/>
          <w:sz w:val="22"/>
        </w:rPr>
        <w:t>본 연구의 fusion 메커니즘이 Customer clarity 약점(2.67)을 갖는다는 발견을 바탕으로, prompt 엔지니어링을 통한 표현 정제 연구가 가능하다. 구체적으로 다음과 같은 방향이 있다.</w:t>
      </w:r>
    </w:p>
    <w:p>
      <w:pPr>
        <w:spacing w:line="480" w:lineRule="auto" w:before="0" w:after="120"/>
        <w:ind w:firstLine="283"/>
        <w:jc w:val="left"/>
      </w:pPr>
      <w:r>
        <w:rPr>
          <w:rFonts w:ascii="Times New Roman" w:hAnsi="Times New Roman" w:eastAsia="맑은 고딕"/>
          <w:b w:val="0"/>
          <w:sz w:val="22"/>
        </w:rPr>
        <w:t>• SHAP 부호의 자연어화: "+/-" 대신 "부도 가능성을 높이는/낮추는"</w:t>
      </w:r>
    </w:p>
    <w:p>
      <w:pPr>
        <w:spacing w:line="480" w:lineRule="auto" w:before="0" w:after="120"/>
        <w:ind w:firstLine="283"/>
        <w:jc w:val="left"/>
      </w:pPr>
      <w:r>
        <w:rPr>
          <w:rFonts w:ascii="Times New Roman" w:hAnsi="Times New Roman" w:eastAsia="맑은 고딕"/>
          <w:b w:val="0"/>
          <w:sz w:val="22"/>
        </w:rPr>
        <w:t>• Agreement 라벨의 직관 표현화: "agreed" 대신 "두 분석 방법이 모두 본"</w:t>
      </w:r>
    </w:p>
    <w:p>
      <w:pPr>
        <w:spacing w:line="480" w:lineRule="auto" w:before="0" w:after="120"/>
        <w:ind w:firstLine="283"/>
        <w:jc w:val="left"/>
      </w:pPr>
      <w:r>
        <w:rPr>
          <w:rFonts w:ascii="Times New Roman" w:hAnsi="Times New Roman" w:eastAsia="맑은 고딕"/>
          <w:b w:val="0"/>
          <w:sz w:val="22"/>
        </w:rPr>
        <w:t>• 정성 표현의 도입: "매우 큰 영향(SHAP 0.95)" 등</w:t>
      </w:r>
    </w:p>
    <w:p>
      <w:pPr>
        <w:spacing w:line="480" w:lineRule="auto" w:before="0" w:after="120"/>
        <w:ind w:firstLine="283"/>
        <w:jc w:val="left"/>
      </w:pPr>
      <w:r>
        <w:rPr>
          <w:rFonts w:ascii="Times New Roman" w:hAnsi="Times New Roman" w:eastAsia="맑은 고딕"/>
          <w:b w:val="0"/>
          <w:sz w:val="22"/>
        </w:rPr>
        <w:t>다만 이러한 표현 변경은 NLI 사실성과의 trade-off를 야기할 수 있으므로, 사실성 손실 최소화 + 친화성 일부 향상 의 하이브리드 접근이 필요하다.</w:t>
      </w:r>
    </w:p>
    <w:p>
      <w:pPr>
        <w:spacing w:line="480" w:lineRule="auto" w:before="0" w:after="120"/>
        <w:ind w:firstLine="283"/>
        <w:jc w:val="left"/>
      </w:pPr>
      <w:r>
        <w:rPr>
          <w:rFonts w:ascii="Times New Roman" w:hAnsi="Times New Roman" w:eastAsia="맑은 고딕"/>
          <w:b w:val="0"/>
          <w:sz w:val="22"/>
        </w:rPr>
        <w:t>#### (e) 평가 도구의 다중화</w:t>
      </w:r>
    </w:p>
    <w:p>
      <w:pPr>
        <w:spacing w:line="480" w:lineRule="auto" w:before="0" w:after="120"/>
        <w:ind w:firstLine="283"/>
        <w:jc w:val="left"/>
      </w:pPr>
      <w:r>
        <w:rPr>
          <w:rFonts w:ascii="Times New Roman" w:hAnsi="Times New Roman" w:eastAsia="맑은 고딕"/>
          <w:b w:val="0"/>
          <w:sz w:val="22"/>
        </w:rPr>
        <w:t>본 연구의 평가 신뢰성을 강화하기 위해 다음과 같은 다중화가 가능하다.</w:t>
      </w:r>
    </w:p>
    <w:p>
      <w:pPr>
        <w:spacing w:line="480" w:lineRule="auto" w:before="0" w:after="120"/>
        <w:ind w:firstLine="283"/>
        <w:jc w:val="left"/>
      </w:pPr>
      <w:r>
        <w:rPr>
          <w:rFonts w:ascii="Times New Roman" w:hAnsi="Times New Roman" w:eastAsia="맑은 고딕"/>
          <w:b w:val="0"/>
          <w:sz w:val="22"/>
        </w:rPr>
        <w:t>• NLI 모델 ensemble: mDeBERTa-v3 외에 KLUE-NLI, KoBERT-NLI 등 한국어 전용 NLI 모델 추가</w:t>
      </w:r>
    </w:p>
    <w:p>
      <w:pPr>
        <w:spacing w:line="480" w:lineRule="auto" w:before="0" w:after="120"/>
        <w:ind w:firstLine="283"/>
        <w:jc w:val="left"/>
      </w:pPr>
      <w:r>
        <w:rPr>
          <w:rFonts w:ascii="Times New Roman" w:hAnsi="Times New Roman" w:eastAsia="맑은 고딕"/>
          <w:b w:val="0"/>
          <w:sz w:val="22"/>
        </w:rPr>
        <w:t>• LLM judge ensemble: Anthropic + Google + OpenAI GPT-5 등 3개 이상 judge로 G-Eval 평가</w:t>
      </w:r>
    </w:p>
    <w:p>
      <w:pPr>
        <w:spacing w:line="480" w:lineRule="auto" w:before="0" w:after="120"/>
        <w:ind w:firstLine="283"/>
        <w:jc w:val="left"/>
      </w:pPr>
      <w:r>
        <w:rPr>
          <w:rFonts w:ascii="Times New Roman" w:hAnsi="Times New Roman" w:eastAsia="맑은 고딕"/>
          <w:b w:val="0"/>
          <w:sz w:val="22"/>
        </w:rPr>
        <w:t>• Embedding-based sensitive leak: G-Eval에 더해 임베딩 cosine 거리로 민감 정보 노출 추가 측정</w:t>
      </w:r>
    </w:p>
    <w:p>
      <w:pPr>
        <w:spacing w:line="480" w:lineRule="auto" w:before="0" w:after="120"/>
        <w:ind w:firstLine="283"/>
        <w:jc w:val="left"/>
      </w:pPr>
      <w:r>
        <w:rPr>
          <w:rFonts w:ascii="Times New Roman" w:hAnsi="Times New Roman" w:eastAsia="맑은 고딕"/>
          <w:b w:val="0"/>
          <w:sz w:val="22"/>
        </w:rPr>
        <w:t>#### (f) 보조 테이블의 활용 확장</w:t>
      </w:r>
    </w:p>
    <w:p>
      <w:pPr>
        <w:spacing w:line="480" w:lineRule="auto" w:before="0" w:after="120"/>
        <w:ind w:firstLine="283"/>
        <w:jc w:val="left"/>
      </w:pPr>
      <w:r>
        <w:rPr>
          <w:rFonts w:ascii="Times New Roman" w:hAnsi="Times New Roman" w:eastAsia="맑은 고딕"/>
          <w:b w:val="0"/>
          <w:sz w:val="22"/>
        </w:rPr>
        <w:t>본 연구의 Step 3-B에서는 bureau와 previous_application 두 테이블만 활용하여 AUROC +2.22% 향상을 확인하였다. Home Credit Default Risk 데이터셋에는 POS_CASH_balance, credit_card_balance, installments_payments, bureau_balance 등 추가 보조 테이블 4개가 더 존재하며, 이들의 활용은 SHAP 분석에서 EXT_SOURCE 응축 가설 의 직접 검증과 함께 본 연구의 예측 성능을 더 향상시킬 가능성이 있다.</w:t>
      </w:r>
    </w:p>
    <w:p>
      <w:pPr>
        <w:pStyle w:val="Heading3"/>
        <w:spacing w:line="480" w:lineRule="auto" w:before="240" w:after="120"/>
        <w:jc w:val="left"/>
      </w:pPr>
      <w:r>
        <w:rPr>
          <w:rFonts w:ascii="Times New Roman" w:hAnsi="Times New Roman" w:eastAsia="맑은 고딕"/>
          <w:b/>
          <w:color w:val="000000"/>
          <w:sz w:val="22"/>
        </w:rPr>
        <w:t>5.1.5 종합 정리</w:t>
      </w:r>
    </w:p>
    <w:p>
      <w:pPr>
        <w:spacing w:line="480" w:lineRule="auto" w:before="0" w:after="120"/>
        <w:ind w:firstLine="283"/>
        <w:jc w:val="left"/>
      </w:pPr>
      <w:r>
        <w:rPr>
          <w:rFonts w:ascii="Times New Roman" w:hAnsi="Times New Roman" w:eastAsia="맑은 고딕"/>
          <w:b w:val="0"/>
          <w:sz w:val="22"/>
        </w:rPr>
        <w:t>본 연구의 학술적 메시지는 "fusion이 모든 환경·모든 차원에서 1위" 가 아니라, "응용 시나리오 × 평가 차원 × 데이터 복잡도의 3차원 trade-off" 의 정량 입증이다. 이러한 honest reporting은 본 연구가 학술 논문으로서 완결성을 갖추기 위한 핵심 자세이며, 또한 산업 적용 시점에 시스템 운영자가 응용 시나리오에 맞는 mode를 선택할 수 있는 근거로도 작용한다. 다음 제8장에서는 본 연구의 학술적·산업적 기여를 종합 결론으로 정리한다.</w:t>
      </w:r>
    </w:p>
    <w:p>
      <w:pPr>
        <w:pStyle w:val="Heading3"/>
        <w:spacing w:line="480" w:lineRule="auto" w:before="240" w:after="120"/>
        <w:jc w:val="left"/>
      </w:pPr>
      <w:r>
        <w:rPr>
          <w:rFonts w:ascii="Times New Roman" w:hAnsi="Times New Roman" w:eastAsia="맑은 고딕"/>
          <w:b/>
          <w:color w:val="000000"/>
          <w:sz w:val="22"/>
        </w:rPr>
        <w:t>5.2.1 연구 요약</w:t>
      </w:r>
    </w:p>
    <w:p>
      <w:pPr>
        <w:spacing w:line="480" w:lineRule="auto" w:before="0" w:after="120"/>
        <w:ind w:firstLine="283"/>
        <w:jc w:val="left"/>
      </w:pPr>
      <w:r>
        <w:rPr>
          <w:rFonts w:ascii="Times New Roman" w:hAnsi="Times New Roman" w:eastAsia="맑은 고딕"/>
          <w:b w:val="0"/>
          <w:sz w:val="22"/>
        </w:rPr>
        <w:t>본 연구는 정형 데이터 특화 딥러닝 모델인 TabNet의 인스턴스 어텐션과 트리 부스팅 모델인 XGBoost의 SHAP local 기여도를 동의 기반(agreement-aware) 으로 융합한 신규 컨텍스트를 설계하고, 이를 거대언어모델(LLM)의 검색 증강 생성(RAG) 파이프라인에 입력하여 신용평가 결과의 자연어 설명 리포트를 자동 생성하는 시스템을 제안하였다.</w:t>
      </w:r>
    </w:p>
    <w:p>
      <w:pPr>
        <w:spacing w:line="480" w:lineRule="auto" w:before="0" w:after="120"/>
        <w:ind w:firstLine="283"/>
        <w:jc w:val="left"/>
      </w:pPr>
      <w:r>
        <w:rPr>
          <w:rFonts w:ascii="Times New Roman" w:hAnsi="Times New Roman" w:eastAsia="맑은 고딕"/>
          <w:b w:val="0"/>
          <w:sz w:val="22"/>
        </w:rPr>
        <w:t>본 연구의 시스템은 4단계 파이프라인(예측 → 해석 → 융합 컨텍스트 → 자연어 생성)으로 구성되며, 룰 기반 충실성·환각률, mDeBERTa-NLI 기반 함의도, 교차 LLM G-Eval, 3-페르소나 LLM 대리 평가의 4-tier 평가 프레임워크와 4/5 규칙 기반의 공정성 평가를 통해 시스템 출력의 사실성·충실성·이해관계자별 적합성·공정성을 정량 측정하였다.</w:t>
      </w:r>
    </w:p>
    <w:p>
      <w:pPr>
        <w:spacing w:line="480" w:lineRule="auto" w:before="0" w:after="120"/>
        <w:ind w:firstLine="283"/>
        <w:jc w:val="left"/>
      </w:pPr>
      <w:r>
        <w:rPr>
          <w:rFonts w:ascii="Times New Roman" w:hAnsi="Times New Roman" w:eastAsia="맑은 고딕"/>
          <w:b w:val="0"/>
          <w:sz w:val="22"/>
        </w:rPr>
        <w:t>본 연구는 Kaggle Home Credit Default Risk(307,511명, 214 변수)와 UCI German Credit(1,000명, 63 변수) 두 개의 공개 신용평가 데이터셋을 동일 파이프라인에 적용하여, 본 연구 메커니즘의 일반화 가능성을 검증하였다.</w:t>
      </w:r>
    </w:p>
    <w:p>
      <w:pPr>
        <w:spacing w:line="480" w:lineRule="auto" w:before="0" w:after="120"/>
        <w:ind w:firstLine="283"/>
        <w:jc w:val="left"/>
      </w:pPr>
      <w:r>
        <w:rPr>
          <w:rFonts w:ascii="Times New Roman" w:hAnsi="Times New Roman" w:eastAsia="맑은 고딕"/>
          <w:b w:val="0"/>
          <w:sz w:val="22"/>
        </w:rPr>
        <w:t>주요 결과는 다음과 같다.</w:t>
      </w:r>
    </w:p>
    <w:p>
      <w:pPr>
        <w:spacing w:line="480" w:lineRule="auto" w:before="0" w:after="120"/>
        <w:ind w:firstLine="283"/>
        <w:jc w:val="left"/>
      </w:pPr>
      <w:r>
        <w:rPr>
          <w:rFonts w:ascii="Times New Roman" w:hAnsi="Times New Roman" w:eastAsia="맑은 고딕"/>
          <w:b w:val="0"/>
          <w:sz w:val="22"/>
        </w:rPr>
        <w:t>1. 모델 성능: XGBoost가 두 데이터셋 모두에서 5-fold CV AUROC 약 0.76~0.77 수준의 일관된 예측 성능을 보였다. TabNet은 0.7543(Home), 0.7499(German)으로 XGBoost와 0.5%p 이내의 작은 차이로 보조 모델과 어텐션 추출용으로 적합함을 입증하였다.</w:t>
      </w:r>
    </w:p>
    <w:p>
      <w:pPr>
        <w:spacing w:line="480" w:lineRule="auto" w:before="0" w:after="120"/>
        <w:ind w:firstLine="283"/>
        <w:jc w:val="left"/>
      </w:pPr>
      <w:r>
        <w:rPr>
          <w:rFonts w:ascii="Times New Roman" w:hAnsi="Times New Roman" w:eastAsia="맑은 고딕"/>
          <w:b w:val="0"/>
          <w:sz w:val="22"/>
        </w:rPr>
        <w:t>2. SHAP × 어텐션 일관성: 두 데이터셋에서 Spearman 상관계수가 거의 동일하게 약한 양의 상관(ρ = 0.117 vs 0.114)으로 관찰되어, 부분 일관 + 부분 상보 의 패턴이 신용평가 도메인의 일반 패턴임을 정량적으로 확인하였다.</w:t>
      </w:r>
    </w:p>
    <w:p>
      <w:pPr>
        <w:spacing w:line="480" w:lineRule="auto" w:before="0" w:after="120"/>
        <w:ind w:firstLine="283"/>
        <w:jc w:val="left"/>
      </w:pPr>
      <w:r>
        <w:rPr>
          <w:rFonts w:ascii="Times New Roman" w:hAnsi="Times New Roman" w:eastAsia="맑은 고딕"/>
          <w:b w:val="0"/>
          <w:sz w:val="22"/>
        </w:rPr>
        <w:t>3. fusion의 NLI 사실성 1위: 두 데이터셋 모두에서 no_shap &lt; generic_rag &lt; shaponly &lt; fusion 의 NLI Entailment 단조 증가 패턴이 일관되게 관찰되었다. fusion은 Home Credit에서 0.625, UCI German Credit에서 0.711의 entailment를 보이며 4-mode 중 1위를 차지하였다.</w:t>
      </w:r>
    </w:p>
    <w:p>
      <w:pPr>
        <w:spacing w:line="480" w:lineRule="auto" w:before="0" w:after="120"/>
        <w:ind w:firstLine="283"/>
        <w:jc w:val="left"/>
      </w:pPr>
      <w:r>
        <w:rPr>
          <w:rFonts w:ascii="Times New Roman" w:hAnsi="Times New Roman" w:eastAsia="맑은 고딕"/>
          <w:b w:val="0"/>
          <w:sz w:val="22"/>
        </w:rPr>
        <w:t>4. 환각 차단의 분리: 4-mode 모두에서 환각률 0%가 달성되었으며, 이는 hard constraint만으로 환각 차단이 충분조건임을 의미한다. fusion의 차별성은 환각 차단이 아닌 fact-grounded 충실성과 값 정확 인용 에 있음을 정량적으로 분리·입증하였다.</w:t>
      </w:r>
    </w:p>
    <w:p>
      <w:pPr>
        <w:spacing w:line="480" w:lineRule="auto" w:before="0" w:after="120"/>
        <w:ind w:firstLine="283"/>
        <w:jc w:val="left"/>
      </w:pPr>
      <w:r>
        <w:rPr>
          <w:rFonts w:ascii="Times New Roman" w:hAnsi="Times New Roman" w:eastAsia="맑은 고딕"/>
          <w:b w:val="0"/>
          <w:sz w:val="22"/>
        </w:rPr>
        <w:t>5. 공정성 보정: Reweighing이 보호 속성(GENDER, AGE) × 데이터셋(baseline, aux)의 4가지 조합 모두에서 4/5 규칙을 통과하면서 AUROC 손실은 0.004 이내로 유지되었다. Fairlearn DP는 큰 AUROC 손실을, EO는 4/5 규칙 보장 부재의 본질적 한계를 보였다.</w:t>
      </w:r>
    </w:p>
    <w:p>
      <w:pPr>
        <w:spacing w:line="480" w:lineRule="auto" w:before="0" w:after="120"/>
        <w:ind w:firstLine="283"/>
        <w:jc w:val="left"/>
      </w:pPr>
      <w:r>
        <w:rPr>
          <w:rFonts w:ascii="Times New Roman" w:hAnsi="Times New Roman" w:eastAsia="맑은 고딕"/>
          <w:b w:val="0"/>
          <w:sz w:val="22"/>
        </w:rPr>
        <w:t>6. 응용 시나리오 trade-off: Persona 평가에서 fusion이 Credit Expert·Regulator의 trustworthiness 1위(4.81, 4.75)를 차지하였으나, Customer clarity는 2.67로 최하위 였다. 반면 generic_rag는 Customer clarity 1위(4.93)를 차지하여, audit/regulation = fusion / customer-facing = generic_rag 의 mode 선택 가이드라인이 정량 입증되었다.</w:t>
      </w:r>
    </w:p>
    <w:p>
      <w:pPr>
        <w:spacing w:line="480" w:lineRule="auto" w:before="0" w:after="120"/>
        <w:ind w:firstLine="283"/>
        <w:jc w:val="left"/>
      </w:pPr>
      <w:r>
        <w:rPr>
          <w:rFonts w:ascii="Times New Roman" w:hAnsi="Times New Roman" w:eastAsia="맑은 고딕"/>
          <w:b w:val="0"/>
          <w:sz w:val="22"/>
        </w:rPr>
        <w:t>7. 데이터 복잡도 차원: G-Eval Completeness에서 Home Credit은 fusion 1위(4.82), UCI German Credit은 generic_rag 1위(4.58)로 정반대 결과가 관찰되어, 데이터 복잡도가 fusion 우월성의 결정적 변수 임이 확인되었다.</w:t>
      </w:r>
    </w:p>
    <w:p>
      <w:pPr>
        <w:pStyle w:val="Heading3"/>
        <w:spacing w:line="480" w:lineRule="auto" w:before="240" w:after="120"/>
        <w:jc w:val="left"/>
      </w:pPr>
      <w:r>
        <w:rPr>
          <w:rFonts w:ascii="Times New Roman" w:hAnsi="Times New Roman" w:eastAsia="맑은 고딕"/>
          <w:b/>
          <w:color w:val="000000"/>
          <w:sz w:val="22"/>
        </w:rPr>
        <w:t>5.2.2 본 연구의 학술적 기여</w:t>
      </w:r>
    </w:p>
    <w:p>
      <w:pPr>
        <w:spacing w:line="480" w:lineRule="auto" w:before="0" w:after="120"/>
        <w:ind w:firstLine="283"/>
        <w:jc w:val="left"/>
      </w:pPr>
      <w:r>
        <w:rPr>
          <w:rFonts w:ascii="Times New Roman" w:hAnsi="Times New Roman" w:eastAsia="맑은 고딕"/>
          <w:b w:val="0"/>
          <w:sz w:val="22"/>
        </w:rPr>
        <w:t>본 연구는 다음과 같은 다섯 가지 학술적 기여를 제시한다.</w:t>
      </w:r>
    </w:p>
    <w:p>
      <w:pPr>
        <w:spacing w:line="480" w:lineRule="auto" w:before="0" w:after="120"/>
        <w:ind w:firstLine="283"/>
        <w:jc w:val="left"/>
      </w:pPr>
      <w:r>
        <w:rPr>
          <w:rFonts w:ascii="Times New Roman" w:hAnsi="Times New Roman" w:eastAsia="맑은 고딕"/>
          <w:b w:val="0"/>
          <w:sz w:val="22"/>
        </w:rPr>
        <w:t>#### (a) Agreement-aware Fusion Context의 신규 설계 (C1)</w:t>
      </w:r>
    </w:p>
    <w:p>
      <w:pPr>
        <w:spacing w:line="480" w:lineRule="auto" w:before="0" w:after="120"/>
        <w:ind w:firstLine="283"/>
        <w:jc w:val="left"/>
      </w:pPr>
      <w:r>
        <w:rPr>
          <w:rFonts w:ascii="Times New Roman" w:hAnsi="Times New Roman" w:eastAsia="맑은 고딕"/>
          <w:b w:val="0"/>
          <w:sz w:val="22"/>
        </w:rPr>
        <w:t>본 연구의 가장 중요한 기여는 동의 기반 융합 컨텍스트 의 신규 설계이다. 기존 연구에서는 SHAP과 어텐션을 각각 단독으로 활용하거나 단순 결합한 사례만 존재하였으나, 본 연구는 두 해석 모델의 동의 여부 자체를 LLM 컨텍스트의 명시적 신호로 활용하는 첫 사례이다. 동의 그룹·SHAP 단독·어텐션 단독의 3-그룹 분류와 JSON 구조는 다른 정형 데이터 도메인에도 일반화 가능한 표준 컨텍스트 형식 으로 활용될 수 있다.</w:t>
      </w:r>
    </w:p>
    <w:p>
      <w:pPr>
        <w:spacing w:line="480" w:lineRule="auto" w:before="0" w:after="120"/>
        <w:ind w:firstLine="283"/>
        <w:jc w:val="left"/>
      </w:pPr>
      <w:r>
        <w:rPr>
          <w:rFonts w:ascii="Times New Roman" w:hAnsi="Times New Roman" w:eastAsia="맑은 고딕"/>
          <w:b w:val="0"/>
          <w:sz w:val="22"/>
        </w:rPr>
        <w:t>#### (b) 4-tier 다중 평가 프레임워크 구축 (C2)</w:t>
      </w:r>
    </w:p>
    <w:p>
      <w:pPr>
        <w:spacing w:line="480" w:lineRule="auto" w:before="0" w:after="120"/>
        <w:ind w:firstLine="283"/>
        <w:jc w:val="left"/>
      </w:pPr>
      <w:r>
        <w:rPr>
          <w:rFonts w:ascii="Times New Roman" w:hAnsi="Times New Roman" w:eastAsia="맑은 고딕"/>
          <w:b w:val="0"/>
          <w:sz w:val="22"/>
        </w:rPr>
        <w:t>본 연구가 구축한 룰·NLI·G-Eval·Persona의 4-tier 평가 체계는 LLM 기반 자연어 설명의 사실성·충실성·이해관계자 적합성을 단일 지표로는 잡히지 않는 다차원에서 측정한다. 특히 cross-judge G-Eval과 LLM-proxy persona 평가는 self-bias와 IRB 부담의 두 가지 한계를 제도적으로 완화하는 절충 방안으로 학술적 가치를 갖는다.</w:t>
      </w:r>
    </w:p>
    <w:p>
      <w:pPr>
        <w:spacing w:line="480" w:lineRule="auto" w:before="0" w:after="120"/>
        <w:ind w:firstLine="283"/>
        <w:jc w:val="left"/>
      </w:pPr>
      <w:r>
        <w:rPr>
          <w:rFonts w:ascii="Times New Roman" w:hAnsi="Times New Roman" w:eastAsia="맑은 고딕"/>
          <w:b w:val="0"/>
          <w:sz w:val="22"/>
        </w:rPr>
        <w:t>#### (c) 환각 차단 vs fact-grounding의 분리 입증 (C3)</w:t>
      </w:r>
    </w:p>
    <w:p>
      <w:pPr>
        <w:spacing w:line="480" w:lineRule="auto" w:before="0" w:after="120"/>
        <w:ind w:firstLine="283"/>
        <w:jc w:val="left"/>
      </w:pPr>
      <w:r>
        <w:rPr>
          <w:rFonts w:ascii="Times New Roman" w:hAnsi="Times New Roman" w:eastAsia="맑은 고딕"/>
          <w:b w:val="0"/>
          <w:sz w:val="22"/>
        </w:rPr>
        <w:t>본 연구는 4-mode 비교를 통해 환각률 0%는 hard constraint만으로 충분 하지만 fact-grounded 충실성은 fusion이 필요 함을 정량적으로 분리하였다. 이는 본 연구의 학술적 메시지를 trivial한 환각 차단 주장 에서 fact-grounded 차별성 으로 정교화하는 핵심 근거이다.</w:t>
      </w:r>
    </w:p>
    <w:p>
      <w:pPr>
        <w:spacing w:line="480" w:lineRule="auto" w:before="0" w:after="120"/>
        <w:ind w:firstLine="283"/>
        <w:jc w:val="left"/>
      </w:pPr>
      <w:r>
        <w:rPr>
          <w:rFonts w:ascii="Times New Roman" w:hAnsi="Times New Roman" w:eastAsia="맑은 고딕"/>
          <w:b w:val="0"/>
          <w:sz w:val="22"/>
        </w:rPr>
        <w:t>#### (d) 일반화 검증 (C4)</w:t>
      </w:r>
    </w:p>
    <w:p>
      <w:pPr>
        <w:spacing w:line="480" w:lineRule="auto" w:before="0" w:after="120"/>
        <w:ind w:firstLine="283"/>
        <w:jc w:val="left"/>
      </w:pPr>
      <w:r>
        <w:rPr>
          <w:rFonts w:ascii="Times New Roman" w:hAnsi="Times New Roman" w:eastAsia="맑은 고딕"/>
          <w:b w:val="0"/>
          <w:sz w:val="22"/>
        </w:rPr>
        <w:t>본 연구의 메커니즘이 Home Credit과 UCI German Credit 두 데이터셋에서 SHAP × 어텐션 ρ ≈ 0.11과 NLI 단조 증가 패턴을 일관되게 보임을 입증하여, 본 연구의 발견이 단일 데이터셋 특수 패턴이 아닌 신용평가 도메인의 일반 패턴임을 정량 확인하였다. 동시에 G-Eval Completeness의 데이터셋별 차이를 통해 데이터 복잡도가 fusion 우월성의 결정적 변수 임을 honest reporting으로 추가 발견하였다.</w:t>
      </w:r>
    </w:p>
    <w:p>
      <w:pPr>
        <w:spacing w:line="480" w:lineRule="auto" w:before="0" w:after="120"/>
        <w:ind w:firstLine="283"/>
        <w:jc w:val="left"/>
      </w:pPr>
      <w:r>
        <w:rPr>
          <w:rFonts w:ascii="Times New Roman" w:hAnsi="Times New Roman" w:eastAsia="맑은 고딕"/>
          <w:b w:val="0"/>
          <w:sz w:val="22"/>
        </w:rPr>
        <w:t>#### (e) 공정성 보정의 무손실 적용 (C5)</w:t>
      </w:r>
    </w:p>
    <w:p>
      <w:pPr>
        <w:spacing w:line="480" w:lineRule="auto" w:before="0" w:after="120"/>
        <w:ind w:firstLine="283"/>
        <w:jc w:val="left"/>
      </w:pPr>
      <w:r>
        <w:rPr>
          <w:rFonts w:ascii="Times New Roman" w:hAnsi="Times New Roman" w:eastAsia="맑은 고딕"/>
          <w:b w:val="0"/>
          <w:sz w:val="22"/>
        </w:rPr>
        <w:t>본 연구의 Reweighing 적용 결과는 신용평가 도메인에서 공정성 보정이 모델 성능 손실 없이 가능 함을 입증한다. 4가지 보호 속성 × 데이터셋 조합 모두에서 4/5 규칙 통과를 AUROC 손실 0.004 이내에서 달성하였으며, 특히 aux 데이터셋에서는 AUROC가 오히려 향상되는 결과를 얻었다. 이는 산업 신용평가 시스템의 공정성 규제 준수에 직접적인 정량 근거를 제공한다.</w:t>
      </w:r>
    </w:p>
    <w:p>
      <w:pPr>
        <w:pStyle w:val="Heading3"/>
        <w:spacing w:line="480" w:lineRule="auto" w:before="240" w:after="120"/>
        <w:jc w:val="left"/>
      </w:pPr>
      <w:r>
        <w:rPr>
          <w:rFonts w:ascii="Times New Roman" w:hAnsi="Times New Roman" w:eastAsia="맑은 고딕"/>
          <w:b/>
          <w:color w:val="000000"/>
          <w:sz w:val="22"/>
        </w:rPr>
        <w:t>5.2.3 산업적 시사점</w:t>
      </w:r>
    </w:p>
    <w:p>
      <w:pPr>
        <w:spacing w:line="480" w:lineRule="auto" w:before="0" w:after="120"/>
        <w:ind w:firstLine="283"/>
        <w:jc w:val="left"/>
      </w:pPr>
      <w:r>
        <w:rPr>
          <w:rFonts w:ascii="Times New Roman" w:hAnsi="Times New Roman" w:eastAsia="맑은 고딕"/>
          <w:b w:val="0"/>
          <w:sz w:val="22"/>
        </w:rPr>
        <w:t>본 연구의 결과는 신용평가 산업의 자연어 설명 시스템 도입에 다음과 같은 시사점을 제공한다.</w:t>
      </w:r>
    </w:p>
    <w:p>
      <w:pPr>
        <w:spacing w:line="480" w:lineRule="auto" w:before="0" w:after="120"/>
        <w:ind w:firstLine="283"/>
        <w:jc w:val="left"/>
      </w:pPr>
      <w:r>
        <w:rPr>
          <w:rFonts w:ascii="Times New Roman" w:hAnsi="Times New Roman" w:eastAsia="맑은 고딕"/>
          <w:b w:val="0"/>
          <w:sz w:val="22"/>
        </w:rPr>
        <w:t>첫째, 응용 시나리오별 mode 선택이 가능하다. 본 연구의 정량 평가는 audit·내부 감사·규제 준수 환경에서는 fusion 모드가, 고객 응대 환경에서는 generic_rag 모드가 적합함을 보여준다. 이를 통해 단일 자연어 설명 시스템이 응용 시나리오에 맞는 모드를 선택적으로 활용하는 adaptive 운영이 가능하다.</w:t>
      </w:r>
    </w:p>
    <w:p>
      <w:pPr>
        <w:spacing w:line="480" w:lineRule="auto" w:before="0" w:after="120"/>
        <w:ind w:firstLine="283"/>
        <w:jc w:val="left"/>
      </w:pPr>
      <w:r>
        <w:rPr>
          <w:rFonts w:ascii="Times New Roman" w:hAnsi="Times New Roman" w:eastAsia="맑은 고딕"/>
          <w:b w:val="0"/>
          <w:sz w:val="22"/>
        </w:rPr>
        <w:t>둘째, hard constraint 정책의 산업 적용 가능성이 직접 확인되었다. 5가지 단순 자연어 제약문만으로 환각이 안정적으로 차단되며, 이는 LLM 기반 신용평가 자동화 시스템의 법무·규제 검토 통과 가능성 을 높이는 실용적 근거이다.</w:t>
      </w:r>
    </w:p>
    <w:p>
      <w:pPr>
        <w:spacing w:line="480" w:lineRule="auto" w:before="0" w:after="120"/>
        <w:ind w:firstLine="283"/>
        <w:jc w:val="left"/>
      </w:pPr>
      <w:r>
        <w:rPr>
          <w:rFonts w:ascii="Times New Roman" w:hAnsi="Times New Roman" w:eastAsia="맑은 고딕"/>
          <w:b w:val="0"/>
          <w:sz w:val="22"/>
        </w:rPr>
        <w:t>셋째, 공정성 보정의 비즈니스 손실 최소화가 입증되었다. Reweighing은 학습 데이터의 가중치만 재계산하므로 기존 모델 인프라의 변경 없이 적용 가능하며, AUROC 손실이 0.4%p 이내로 비즈니스 영향을 최소화한다.</w:t>
      </w:r>
    </w:p>
    <w:p>
      <w:pPr>
        <w:spacing w:line="480" w:lineRule="auto" w:before="0" w:after="120"/>
        <w:ind w:firstLine="283"/>
        <w:jc w:val="left"/>
      </w:pPr>
      <w:r>
        <w:rPr>
          <w:rFonts w:ascii="Times New Roman" w:hAnsi="Times New Roman" w:eastAsia="맑은 고딕"/>
          <w:b w:val="0"/>
          <w:sz w:val="22"/>
        </w:rPr>
        <w:t>넷째, 두 LLM(Anthropic Claude, Google Gemini)의 일관성이 입증되어, 본 연구의 결과가 단일 LLM 의존이 아님을 확인하였다. 산업 운영에서는 LLM 모델의 라이선스·비용·응답 시간 측면에서 두 모델 중 적절한 선택이 가능하다.</w:t>
      </w:r>
    </w:p>
    <w:p>
      <w:pPr>
        <w:pStyle w:val="Heading3"/>
        <w:spacing w:line="480" w:lineRule="auto" w:before="240" w:after="120"/>
        <w:jc w:val="left"/>
      </w:pPr>
      <w:r>
        <w:rPr>
          <w:rFonts w:ascii="Times New Roman" w:hAnsi="Times New Roman" w:eastAsia="맑은 고딕"/>
          <w:b/>
          <w:color w:val="000000"/>
          <w:sz w:val="22"/>
        </w:rPr>
        <w:t>5.2.4 마무리</w:t>
      </w:r>
    </w:p>
    <w:p>
      <w:pPr>
        <w:spacing w:line="480" w:lineRule="auto" w:before="0" w:after="120"/>
        <w:ind w:firstLine="283"/>
        <w:jc w:val="left"/>
      </w:pPr>
      <w:r>
        <w:rPr>
          <w:rFonts w:ascii="Times New Roman" w:hAnsi="Times New Roman" w:eastAsia="맑은 고딕"/>
          <w:b w:val="0"/>
          <w:sz w:val="22"/>
        </w:rPr>
        <w:t>본 연구는 정형 데이터 신용평가의 예측 정확성, 모델 해석 정보의 통합, LLM 자연어 설명의 fact-grounding, 응용 시나리오별 trade-off, 그리고 공정성 규제 준수의 다섯 가지 목표를 동시에 추구하는 통합 시스템을 제안하였다. 본 연구의 동의 기반 융합 컨텍스트 와 4-tier 평가 프레임워크 는 신용평가 도메인의 학술 연구와 산업 적용 양 측면에서 활용 가능한 재현 가능한 방법론 으로 GitHub 공개 저장소(Tim-Green0/tabnet-xai-rag-credit)에 모든 코드와 결과를 공개하였다.</w:t>
      </w:r>
    </w:p>
    <w:p>
      <w:pPr>
        <w:spacing w:line="480" w:lineRule="auto" w:before="0" w:after="120"/>
        <w:ind w:firstLine="283"/>
        <w:jc w:val="left"/>
      </w:pPr>
      <w:r>
        <w:rPr>
          <w:rFonts w:ascii="Times New Roman" w:hAnsi="Times New Roman" w:eastAsia="맑은 고딕"/>
          <w:b w:val="0"/>
          <w:sz w:val="22"/>
        </w:rPr>
        <w:t>본 연구가 명시적으로 보고한 한계 — 표본 30 건 수준의 평가, LLM-proxy persona의 IRB 부재, hard constraint 의존성, Customer clarity 약점, 한국어 humanize 매핑 의존 — 는 향후 연구에서 정식 IRB 인간 평가, 추가 데이터셋 검증, 3-way ablation 분석, hybrid prompt 설계, 그리고 자동 한국어 변환 framework 개발을 통해 단계적으로 보완될 수 있다.</w:t>
      </w:r>
    </w:p>
    <w:p>
      <w:pPr>
        <w:spacing w:line="480" w:lineRule="auto" w:before="0" w:after="120"/>
        <w:ind w:firstLine="283"/>
        <w:jc w:val="left"/>
      </w:pPr>
      <w:r>
        <w:rPr>
          <w:rFonts w:ascii="Times New Roman" w:hAnsi="Times New Roman" w:eastAsia="맑은 고딕"/>
          <w:b w:val="0"/>
          <w:sz w:val="22"/>
        </w:rPr>
        <w:t>본 연구가 제시한 fusion 메커니즘은 NLI 사실성에서 일관 1위이지만 데이터 복잡도와 평가 차원에 따라 mode 선택 trade-off가 존재함 의 honest reporting은 단순 우월성 주장보다 학술적 가치가 높으며, 본 연구의 산업 적용 시점에 운영자가 응용 시나리오에 맞는 모드를 선택할 수 있는 정량 근거 로 작용한다. 본 연구가 신용평가 도메인의 설명 가능한 AI 와 책임 있는 AI 두 측면에 모두 의미 있는 기여를 하였기를 기대한다.</w:t>
      </w:r>
    </w:p>
    <w:p>
      <w:r>
        <w:br w:type="page"/>
      </w:r>
    </w:p>
    <w:p>
      <w:pPr>
        <w:pStyle w:val="Heading1"/>
        <w:spacing w:line="480" w:lineRule="auto" w:before="480" w:after="360"/>
        <w:jc w:val="center"/>
      </w:pPr>
      <w:r>
        <w:rPr>
          <w:rFonts w:ascii="Times New Roman" w:hAnsi="Times New Roman" w:eastAsia="맑은 고딕"/>
          <w:b/>
          <w:color w:val="000000"/>
          <w:sz w:val="32"/>
        </w:rPr>
        <w:t>참고문헌 (References, IEEE Style)</w:t>
      </w:r>
    </w:p>
    <w:p>
      <w:pPr>
        <w:spacing w:line="360" w:lineRule="auto" w:before="120" w:after="120"/>
        <w:jc w:val="center"/>
      </w:pPr>
      <w:r>
        <w:rPr>
          <w:rFonts w:ascii="Times New Roman" w:hAnsi="Times New Roman" w:eastAsia="맑은 고딕"/>
          <w:b w:val="0"/>
          <w:i/>
          <w:sz w:val="22"/>
        </w:rPr>
        <w:t>본 파일은 본문 작성과 함께 인용된 문헌을 IEEE 양식으로 일괄 정리한다.</w:t>
      </w:r>
    </w:p>
    <w:p>
      <w:pPr>
        <w:spacing w:line="360" w:lineRule="auto" w:before="120" w:after="120"/>
        <w:jc w:val="center"/>
      </w:pPr>
      <w:r>
        <w:rPr>
          <w:rFonts w:ascii="Times New Roman" w:hAnsi="Times New Roman" w:eastAsia="맑은 고딕"/>
          <w:b w:val="0"/>
          <w:i/>
          <w:sz w:val="22"/>
        </w:rPr>
        <w:t>학위논문지침 양식 (저자, "논문제목", 잡지이름(밑줄/이탤릭), 권 호, pp. 면수, 발간년도) 일치.</w:t>
      </w:r>
    </w:p>
    <w:p>
      <w:pPr>
        <w:spacing w:line="360" w:lineRule="auto" w:before="120" w:after="120"/>
        <w:jc w:val="center"/>
      </w:pPr>
      <w:r>
        <w:rPr>
          <w:rFonts w:ascii="Times New Roman" w:hAnsi="Times New Roman" w:eastAsia="맑은 고딕"/>
          <w:b w:val="0"/>
          <w:i/>
          <w:sz w:val="22"/>
        </w:rPr>
        <w:t>한국어 문헌은 가나다순, 영어 문헌은 abc순으로 정렬 (또는 본문 인용 순).</w:t>
      </w:r>
    </w:p>
    <w:p>
      <w:pPr>
        <w:spacing w:line="360" w:lineRule="auto" w:before="120" w:after="120"/>
        <w:jc w:val="center"/>
      </w:pPr>
      <w:r>
        <w:rPr>
          <w:rFonts w:ascii="Times New Roman" w:hAnsi="Times New Roman" w:eastAsia="맑은 고딕"/>
          <w:b w:val="0"/>
          <w:i/>
          <w:sz w:val="22"/>
        </w:rPr>
        <w:t>본 초안은 *본문 인용 순* 으로 정렬한다.</w:t>
      </w:r>
    </w:p>
    <w:p>
      <w:pPr>
        <w:spacing w:line="480" w:lineRule="auto" w:before="0" w:after="120"/>
        <w:ind w:firstLine="283"/>
        <w:jc w:val="left"/>
      </w:pPr>
      <w:r>
        <w:rPr>
          <w:rFonts w:ascii="Times New Roman" w:hAnsi="Times New Roman" w:eastAsia="맑은 고딕"/>
          <w:b w:val="0"/>
          <w:sz w:val="22"/>
        </w:rPr>
        <w:t>---</w:t>
      </w:r>
    </w:p>
    <w:p>
      <w:pPr>
        <w:spacing w:line="480" w:lineRule="auto" w:before="0" w:after="120"/>
        <w:ind w:firstLine="283"/>
        <w:jc w:val="left"/>
      </w:pPr>
      <w:r>
        <w:rPr>
          <w:rFonts w:ascii="Times New Roman" w:hAnsi="Times New Roman" w:eastAsia="맑은 고딕"/>
          <w:b w:val="0"/>
          <w:sz w:val="22"/>
        </w:rPr>
        <w:t>[1] L. Thomas, J. Crook, and D. Edelman, Credit Scoring and Its Applications, 2nd ed., Philadelphia: SIAM, 2017.</w:t>
      </w:r>
    </w:p>
    <w:p>
      <w:pPr>
        <w:spacing w:line="480" w:lineRule="auto" w:before="0" w:after="120"/>
        <w:ind w:firstLine="283"/>
        <w:jc w:val="left"/>
      </w:pPr>
      <w:r>
        <w:rPr>
          <w:rFonts w:ascii="Times New Roman" w:hAnsi="Times New Roman" w:eastAsia="맑은 고딕"/>
          <w:b w:val="0"/>
          <w:sz w:val="22"/>
        </w:rPr>
        <w:t>[2] FICO, "What's in My FICO Scores", FICO Score Education, 2023. [Online]. Available: https://www.myfico.com</w:t>
      </w:r>
    </w:p>
    <w:p>
      <w:pPr>
        <w:spacing w:line="480" w:lineRule="auto" w:before="0" w:after="120"/>
        <w:ind w:firstLine="283"/>
        <w:jc w:val="left"/>
      </w:pPr>
      <w:r>
        <w:rPr>
          <w:rFonts w:ascii="Times New Roman" w:hAnsi="Times New Roman" w:eastAsia="맑은 고딕"/>
          <w:b w:val="0"/>
          <w:sz w:val="22"/>
        </w:rPr>
        <w:t>[3] T. Chen and C. Guestrin, "XGBoost: A scalable tree boosting system", Proceedings of the 22nd ACM SIGKDD International Conference on Knowledge Discovery and Data Mining, pp. 785-794, 2016.</w:t>
      </w:r>
    </w:p>
    <w:p>
      <w:pPr>
        <w:spacing w:line="480" w:lineRule="auto" w:before="0" w:after="120"/>
        <w:ind w:firstLine="283"/>
        <w:jc w:val="left"/>
      </w:pPr>
      <w:r>
        <w:rPr>
          <w:rFonts w:ascii="Times New Roman" w:hAnsi="Times New Roman" w:eastAsia="맑은 고딕"/>
          <w:b w:val="0"/>
          <w:sz w:val="22"/>
        </w:rPr>
        <w:t>[4] S. Ö. Arik and T. Pfister, "TabNet: Attentive interpretable tabular learning", Proceedings of the AAAI Conference on Artificial Intelligence, vol. 35, no. 8, pp. 6679-6687, 2021.</w:t>
      </w:r>
    </w:p>
    <w:p>
      <w:pPr>
        <w:spacing w:line="480" w:lineRule="auto" w:before="0" w:after="120"/>
        <w:ind w:firstLine="283"/>
        <w:jc w:val="left"/>
      </w:pPr>
      <w:r>
        <w:rPr>
          <w:rFonts w:ascii="Times New Roman" w:hAnsi="Times New Roman" w:eastAsia="맑은 고딕"/>
          <w:b w:val="0"/>
          <w:sz w:val="22"/>
        </w:rPr>
        <w:t>[5] 금융위원회·금융감독원, "금융 분야 AI 가이드라인", 2021년 7월. [Online]. Available: https://www.fsc.go.kr</w:t>
      </w:r>
    </w:p>
    <w:p>
      <w:pPr>
        <w:spacing w:line="480" w:lineRule="auto" w:before="0" w:after="120"/>
        <w:ind w:firstLine="283"/>
        <w:jc w:val="left"/>
      </w:pPr>
      <w:r>
        <w:rPr>
          <w:rFonts w:ascii="Times New Roman" w:hAnsi="Times New Roman" w:eastAsia="맑은 고딕"/>
          <w:b w:val="0"/>
          <w:sz w:val="22"/>
        </w:rPr>
        <w:t>[6] S. M. Lundberg and S.-I. Lee, "A unified approach to interpreting model predictions", Advances in Neural Information Processing Systems 30 (NIPS 2017), pp. 4765-4774, 2017.</w:t>
      </w:r>
    </w:p>
    <w:p>
      <w:pPr>
        <w:spacing w:line="480" w:lineRule="auto" w:before="0" w:after="120"/>
        <w:ind w:firstLine="283"/>
        <w:jc w:val="left"/>
      </w:pPr>
      <w:r>
        <w:rPr>
          <w:rFonts w:ascii="Times New Roman" w:hAnsi="Times New Roman" w:eastAsia="맑은 고딕"/>
          <w:b w:val="0"/>
          <w:sz w:val="22"/>
        </w:rPr>
        <w:t>[7] OpenAI, J. Achiam, et al., "GPT-4 Technical Report", arXiv preprint arXiv:2303.08774, 2023.</w:t>
      </w:r>
    </w:p>
    <w:p>
      <w:pPr>
        <w:spacing w:line="480" w:lineRule="auto" w:before="0" w:after="120"/>
        <w:ind w:firstLine="283"/>
        <w:jc w:val="left"/>
      </w:pPr>
      <w:r>
        <w:rPr>
          <w:rFonts w:ascii="Times New Roman" w:hAnsi="Times New Roman" w:eastAsia="맑은 고딕"/>
          <w:b w:val="0"/>
          <w:sz w:val="22"/>
        </w:rPr>
        <w:t>[8] P. Lewis, E. Perez, A. Piktus, et al., "Retrieval-augmented generation for knowledge-intensive NLP tasks", Advances in Neural Information Processing Systems 33 (NeurIPS 2020), pp. 9459-9474, 2020.</w:t>
      </w:r>
    </w:p>
    <w:p>
      <w:pPr>
        <w:spacing w:line="480" w:lineRule="auto" w:before="0" w:after="120"/>
        <w:ind w:firstLine="283"/>
        <w:jc w:val="left"/>
      </w:pPr>
      <w:r>
        <w:rPr>
          <w:rFonts w:ascii="Times New Roman" w:hAnsi="Times New Roman" w:eastAsia="맑은 고딕"/>
          <w:b w:val="0"/>
          <w:sz w:val="22"/>
        </w:rPr>
        <w:t>[9] F. Kamiran and T. Calders, "Data preprocessing techniques for classification without discrimination", Knowledge and Information Systems, vol. 33, no. 1, pp. 1-33, 2012.</w:t>
      </w:r>
    </w:p>
    <w:p>
      <w:pPr>
        <w:spacing w:line="480" w:lineRule="auto" w:before="0" w:after="120"/>
        <w:ind w:firstLine="283"/>
        <w:jc w:val="left"/>
      </w:pPr>
      <w:r>
        <w:rPr>
          <w:rFonts w:ascii="Times New Roman" w:hAnsi="Times New Roman" w:eastAsia="맑은 고딕"/>
          <w:b w:val="0"/>
          <w:sz w:val="22"/>
        </w:rPr>
        <w:t>[10] D. J. Hand and W. E. Henley, "Statistical classification methods in consumer credit scoring: a review", Journal of the Royal Statistical Society Series A, vol. 160, no. 3, pp. 523-541, 1997.</w:t>
      </w:r>
    </w:p>
    <w:p>
      <w:pPr>
        <w:spacing w:line="480" w:lineRule="auto" w:before="0" w:after="120"/>
        <w:ind w:firstLine="283"/>
        <w:jc w:val="left"/>
      </w:pPr>
      <w:r>
        <w:rPr>
          <w:rFonts w:ascii="Times New Roman" w:hAnsi="Times New Roman" w:eastAsia="맑은 고딕"/>
          <w:b w:val="0"/>
          <w:sz w:val="22"/>
        </w:rPr>
        <w:t>[11] Home Credit Group, "Home Credit Default Risk", Kaggle Competition, 2018. [Online]. Available: https://www.kaggle.com/c/home-credit-default-risk</w:t>
      </w:r>
    </w:p>
    <w:p>
      <w:pPr>
        <w:spacing w:line="480" w:lineRule="auto" w:before="0" w:after="120"/>
        <w:ind w:firstLine="283"/>
        <w:jc w:val="left"/>
      </w:pPr>
      <w:r>
        <w:rPr>
          <w:rFonts w:ascii="Times New Roman" w:hAnsi="Times New Roman" w:eastAsia="맑은 고딕"/>
          <w:b w:val="0"/>
          <w:sz w:val="22"/>
        </w:rPr>
        <w:t>[12] H. Hofmann, "Statlog (German Credit Data)", UCI Machine Learning Repository, 1994. [Online]. Available: https://archive.ics.uci.edu/ml/datasets/statlog+(german+credit+data)</w:t>
      </w:r>
    </w:p>
    <w:p>
      <w:pPr>
        <w:spacing w:line="480" w:lineRule="auto" w:before="0" w:after="120"/>
        <w:ind w:firstLine="283"/>
        <w:jc w:val="left"/>
      </w:pPr>
      <w:r>
        <w:rPr>
          <w:rFonts w:ascii="Times New Roman" w:hAnsi="Times New Roman" w:eastAsia="맑은 고딕"/>
          <w:b w:val="0"/>
          <w:sz w:val="22"/>
        </w:rPr>
        <w:t>[13] S. Lessmann, B. Baesens, H.-V. Seow, and L. C. Thomas, "Benchmarking state-of-the-art classification algorithms for credit scoring: An update of research", European Journal of Operational Research, vol. 247, no. 1, pp. 124-136, 2015.</w:t>
      </w:r>
    </w:p>
    <w:p>
      <w:pPr>
        <w:spacing w:line="480" w:lineRule="auto" w:before="0" w:after="120"/>
        <w:ind w:firstLine="283"/>
        <w:jc w:val="left"/>
      </w:pPr>
      <w:r>
        <w:rPr>
          <w:rFonts w:ascii="Times New Roman" w:hAnsi="Times New Roman" w:eastAsia="맑은 고딕"/>
          <w:b w:val="0"/>
          <w:sz w:val="22"/>
        </w:rPr>
        <w:t>[14] R. Shwartz-Ziv and A. Armon, "Tabular data: Deep learning is not all you need", Information Fusion, vol. 81, pp. 84-90, 2022.</w:t>
      </w:r>
    </w:p>
    <w:p>
      <w:pPr>
        <w:spacing w:line="480" w:lineRule="auto" w:before="0" w:after="120"/>
        <w:ind w:firstLine="283"/>
        <w:jc w:val="left"/>
      </w:pPr>
      <w:r>
        <w:rPr>
          <w:rFonts w:ascii="Times New Roman" w:hAnsi="Times New Roman" w:eastAsia="맑은 고딕"/>
          <w:b w:val="0"/>
          <w:sz w:val="22"/>
        </w:rPr>
        <w:t>[15] 손지민, "머신러닝 및 딥러닝 모델을 이용한 개인 신용 리스크 예측 성능 비교 분석", 서강대학교 AI·SW대학원 석사학위논문, 2024년 12월.</w:t>
      </w:r>
    </w:p>
    <w:p>
      <w:pPr>
        <w:spacing w:line="480" w:lineRule="auto" w:before="0" w:after="120"/>
        <w:ind w:firstLine="283"/>
        <w:jc w:val="left"/>
      </w:pPr>
      <w:r>
        <w:rPr>
          <w:rFonts w:ascii="Times New Roman" w:hAnsi="Times New Roman" w:eastAsia="맑은 고딕"/>
          <w:b w:val="0"/>
          <w:sz w:val="22"/>
        </w:rPr>
        <w:t>[16] S. M. Lundberg, G. Erion, H. Chen, et al., "From local explanations to global understanding with explainable AI for trees", Nature Machine Intelligence, vol. 2, no. 1, pp. 56-67, 2020.</w:t>
      </w:r>
    </w:p>
    <w:p>
      <w:pPr>
        <w:spacing w:line="480" w:lineRule="auto" w:before="0" w:after="120"/>
        <w:ind w:firstLine="283"/>
        <w:jc w:val="left"/>
      </w:pPr>
      <w:r>
        <w:rPr>
          <w:rFonts w:ascii="Times New Roman" w:hAnsi="Times New Roman" w:eastAsia="맑은 고딕"/>
          <w:b w:val="0"/>
          <w:sz w:val="22"/>
        </w:rPr>
        <w:t>[17] S. Jain and B. C. Wallace, "Attention is not Explanation", Proceedings of NAACL-HLT 2019, pp. 3543-3556, 2019.</w:t>
      </w:r>
    </w:p>
    <w:p>
      <w:pPr>
        <w:spacing w:line="480" w:lineRule="auto" w:before="0" w:after="120"/>
        <w:ind w:firstLine="283"/>
        <w:jc w:val="left"/>
      </w:pPr>
      <w:r>
        <w:rPr>
          <w:rFonts w:ascii="Times New Roman" w:hAnsi="Times New Roman" w:eastAsia="맑은 고딕"/>
          <w:b w:val="0"/>
          <w:sz w:val="22"/>
        </w:rPr>
        <w:t>[18] Z. Ji, N. Lee, R. Frieske, et al., "Survey of hallucination in natural language generation", ACM Computing Surveys, vol. 55, no. 12, pp. 1-38, 2023.</w:t>
      </w:r>
    </w:p>
    <w:p>
      <w:pPr>
        <w:spacing w:line="480" w:lineRule="auto" w:before="0" w:after="120"/>
        <w:ind w:firstLine="283"/>
        <w:jc w:val="left"/>
      </w:pPr>
      <w:r>
        <w:rPr>
          <w:rFonts w:ascii="Times New Roman" w:hAnsi="Times New Roman" w:eastAsia="맑은 고딕"/>
          <w:b w:val="0"/>
          <w:sz w:val="22"/>
        </w:rPr>
        <w:t>[19] Y. Liu, D. Iter, Y. Xu, et al., "G-Eval: NLG evaluation using GPT-4 with better human alignment", Proceedings of EMNLP 2023, pp. 2511-2522, 2023.</w:t>
      </w:r>
    </w:p>
    <w:p>
      <w:pPr>
        <w:spacing w:line="480" w:lineRule="auto" w:before="0" w:after="120"/>
        <w:ind w:firstLine="283"/>
        <w:jc w:val="left"/>
      </w:pPr>
      <w:r>
        <w:rPr>
          <w:rFonts w:ascii="Times New Roman" w:hAnsi="Times New Roman" w:eastAsia="맑은 고딕"/>
          <w:b w:val="0"/>
          <w:sz w:val="22"/>
        </w:rPr>
        <w:t>[20] U.S. Equal Employment Opportunity Commission, "Uniform Guidelines on Employee Selection Procedures", 29 CFR Part 1607, 1978.</w:t>
      </w:r>
    </w:p>
    <w:p>
      <w:pPr>
        <w:spacing w:line="480" w:lineRule="auto" w:before="0" w:after="120"/>
        <w:ind w:firstLine="283"/>
        <w:jc w:val="left"/>
      </w:pPr>
      <w:r>
        <w:rPr>
          <w:rFonts w:ascii="Times New Roman" w:hAnsi="Times New Roman" w:eastAsia="맑은 고딕"/>
          <w:b w:val="0"/>
          <w:sz w:val="22"/>
        </w:rPr>
        <w:t>[21] M. Hardt, E. Price, and N. Srebro, "Equality of opportunity in supervised learning", Advances in Neural Information Processing Systems 29 (NIPS 2016), pp. 3315-3323, 2016.</w:t>
      </w:r>
    </w:p>
    <w:p>
      <w:pPr>
        <w:spacing w:line="480" w:lineRule="auto" w:before="0" w:after="120"/>
        <w:ind w:firstLine="283"/>
        <w:jc w:val="left"/>
      </w:pPr>
      <w:r>
        <w:rPr>
          <w:rFonts w:ascii="Times New Roman" w:hAnsi="Times New Roman" w:eastAsia="맑은 고딕"/>
          <w:b w:val="0"/>
          <w:sz w:val="22"/>
        </w:rPr>
        <w:t>[22] S. Bird, M. Dudík, R. Edgar, et al., "Fairlearn: A toolkit for assessing and improving fairness in AI", Microsoft Technical Report MSR-TR-2020-32, 2020.</w:t>
      </w:r>
    </w:p>
    <w:p>
      <w:pPr>
        <w:spacing w:line="480" w:lineRule="auto" w:before="0" w:after="120"/>
        <w:ind w:firstLine="283"/>
        <w:jc w:val="left"/>
      </w:pPr>
      <w:r>
        <w:rPr>
          <w:rFonts w:ascii="Times New Roman" w:hAnsi="Times New Roman" w:eastAsia="맑은 고딕"/>
          <w:b w:val="0"/>
          <w:sz w:val="22"/>
        </w:rPr>
        <w:t>[23] L. Zheng, W.-L. Chiang, Y. Sheng, et al., "Judging LLM-as-a-judge with MT-Bench and Chatbot Arena", Advances in Neural Information Processing Systems 36 (NeurIPS 2023), pp. 46595-46623, 2023.</w:t>
      </w:r>
    </w:p>
    <w:p>
      <w:pPr>
        <w:spacing w:line="480" w:lineRule="auto" w:before="0" w:after="120"/>
        <w:ind w:firstLine="283"/>
        <w:jc w:val="left"/>
      </w:pPr>
      <w:r>
        <w:rPr>
          <w:rFonts w:ascii="Times New Roman" w:hAnsi="Times New Roman" w:eastAsia="맑은 고딕"/>
          <w:b w:val="0"/>
          <w:sz w:val="22"/>
        </w:rPr>
        <w:t>[24] M. Laurer, W. van Atteveldt, A. Casas, and K. Welbers, "Less annotating, more classifying: Addressing the data scarcity issue of supervised machine learning with deep transfer learning and BERT-NLI", Political Analysis, vol. 32, no. 1, pp. 84-100, 2024.</w:t>
      </w:r>
    </w:p>
    <w:p>
      <w:pPr>
        <w:spacing w:line="480" w:lineRule="auto" w:before="0" w:after="120"/>
        <w:ind w:firstLine="283"/>
        <w:jc w:val="left"/>
      </w:pPr>
      <w:r>
        <w:rPr>
          <w:rFonts w:ascii="Times New Roman" w:hAnsi="Times New Roman" w:eastAsia="맑은 고딕"/>
          <w:b w:val="0"/>
          <w:sz w:val="22"/>
        </w:rPr>
        <w:t>[25] J. Park, J. C. O'Brien, C. J. Cai, et al., "Generative agents: Interactive simulacra of human behavior", Proceedings of UIST 2023, pp. 1-22, 2023.</w:t>
      </w:r>
    </w:p>
    <w:p>
      <w:pPr>
        <w:spacing w:line="480" w:lineRule="auto" w:before="0" w:after="120"/>
        <w:ind w:firstLine="283"/>
        <w:jc w:val="left"/>
      </w:pPr>
      <w:r>
        <w:rPr>
          <w:rFonts w:ascii="Times New Roman" w:hAnsi="Times New Roman" w:eastAsia="맑은 고딕"/>
          <w:b w:val="0"/>
          <w:sz w:val="22"/>
        </w:rPr>
        <w:t>---</w:t>
      </w:r>
    </w:p>
    <w:p>
      <w:pPr>
        <w:pStyle w:val="Heading2"/>
        <w:spacing w:line="480" w:lineRule="auto" w:before="360" w:after="240"/>
        <w:jc w:val="left"/>
      </w:pPr>
      <w:r>
        <w:rPr>
          <w:rFonts w:ascii="Times New Roman" w:hAnsi="Times New Roman" w:eastAsia="맑은 고딕"/>
          <w:b/>
          <w:color w:val="000000"/>
          <w:sz w:val="26"/>
        </w:rPr>
        <w:t>추가 예정 (Phase 3~5에서 인용 시)</w:t>
      </w:r>
    </w:p>
    <w:p>
      <w:pPr>
        <w:spacing w:line="480" w:lineRule="auto" w:before="0" w:after="120"/>
        <w:ind w:firstLine="283"/>
        <w:jc w:val="left"/>
      </w:pPr>
      <w:r>
        <w:rPr>
          <w:rFonts w:ascii="Times New Roman" w:hAnsi="Times New Roman" w:eastAsia="맑은 고딕"/>
          <w:b w:val="0"/>
          <w:sz w:val="22"/>
        </w:rPr>
        <w:t>• 본 연구의 paid LLM API: Anthropic Claude Sonnet 4.5, Google Gemini 2.5 Flash 공식 문서</w:t>
      </w:r>
    </w:p>
    <w:p>
      <w:pPr>
        <w:spacing w:line="480" w:lineRule="auto" w:before="0" w:after="120"/>
        <w:ind w:firstLine="283"/>
        <w:jc w:val="left"/>
      </w:pPr>
      <w:r>
        <w:rPr>
          <w:rFonts w:ascii="Times New Roman" w:hAnsi="Times New Roman" w:eastAsia="맑은 고딕"/>
          <w:b w:val="0"/>
          <w:sz w:val="22"/>
        </w:rPr>
        <w:t>• pytorch-tabnet 라이브러리 [Github citation]</w:t>
      </w:r>
    </w:p>
    <w:p>
      <w:pPr>
        <w:spacing w:line="480" w:lineRule="auto" w:before="0" w:after="120"/>
        <w:ind w:firstLine="283"/>
        <w:jc w:val="left"/>
      </w:pPr>
      <w:r>
        <w:rPr>
          <w:rFonts w:ascii="Times New Roman" w:hAnsi="Times New Roman" w:eastAsia="맑은 고딕"/>
          <w:b w:val="0"/>
          <w:sz w:val="22"/>
        </w:rPr>
        <w:t>• shap 라이브러리 (Lundberg)</w:t>
      </w:r>
    </w:p>
    <w:p>
      <w:pPr>
        <w:spacing w:line="480" w:lineRule="auto" w:before="0" w:after="120"/>
        <w:ind w:firstLine="283"/>
        <w:jc w:val="left"/>
      </w:pPr>
      <w:r>
        <w:rPr>
          <w:rFonts w:ascii="Times New Roman" w:hAnsi="Times New Roman" w:eastAsia="맑은 고딕"/>
          <w:b w:val="0"/>
          <w:sz w:val="22"/>
        </w:rPr>
        <w:t>• 본 연구 GitHub repo: Tim-Green0/tabnet-xai-rag-credit</w:t>
      </w:r>
    </w:p>
    <w:p>
      <w:pPr>
        <w:spacing w:line="480" w:lineRule="auto" w:before="0" w:after="120"/>
        <w:ind w:firstLine="283"/>
        <w:jc w:val="left"/>
      </w:pPr>
      <w:r>
        <w:rPr>
          <w:rFonts w:ascii="Times New Roman" w:hAnsi="Times New Roman" w:eastAsia="맑은 고딕"/>
          <w:b w:val="0"/>
          <w:sz w:val="22"/>
        </w:rPr>
        <w:t>• (Step 5-A) Demographic Parity 정의: Calders &amp; Verwer, 2010</w:t>
      </w:r>
    </w:p>
    <w:p>
      <w:pPr>
        <w:spacing w:line="480" w:lineRule="auto" w:before="0" w:after="120"/>
        <w:ind w:firstLine="283"/>
        <w:jc w:val="left"/>
      </w:pPr>
      <w:r>
        <w:rPr>
          <w:rFonts w:ascii="Times New Roman" w:hAnsi="Times New Roman" w:eastAsia="맑은 고딕"/>
          <w:b w:val="0"/>
          <w:sz w:val="22"/>
        </w:rPr>
        <w:t>• 일반화 검증 관련: 추가 데이터셋 (Lending Club, Australian Credit) 인용은 future work 부분에만</w:t>
      </w:r>
    </w:p>
    <w:p>
      <w:pPr>
        <w:spacing w:line="480" w:lineRule="auto" w:before="0" w:after="120"/>
        <w:ind w:firstLine="283"/>
        <w:jc w:val="left"/>
      </w:pPr>
      <w:r>
        <w:rPr>
          <w:rFonts w:ascii="Times New Roman" w:hAnsi="Times New Roman" w:eastAsia="맑은 고딕"/>
          <w:b w:val="0"/>
          <w:sz w:val="22"/>
        </w:rPr>
        <w:t>• LLM 평가 방법론 추가: ROUGE, BLEU, BERTScore 등 (간단 비교용)</w:t>
      </w:r>
    </w:p>
    <w:p>
      <w:pPr>
        <w:pStyle w:val="Heading2"/>
        <w:spacing w:line="480" w:lineRule="auto" w:before="360" w:after="240"/>
        <w:jc w:val="left"/>
      </w:pPr>
      <w:r>
        <w:rPr>
          <w:rFonts w:ascii="Times New Roman" w:hAnsi="Times New Roman" w:eastAsia="맑은 고딕"/>
          <w:b/>
          <w:color w:val="000000"/>
          <w:sz w:val="26"/>
        </w:rPr>
        <w:t>한국어 문헌 (가나다순, 본문 인용 시 별도 정리 가능)</w:t>
      </w:r>
    </w:p>
    <w:p>
      <w:pPr>
        <w:spacing w:line="480" w:lineRule="auto" w:before="0" w:after="120"/>
        <w:ind w:firstLine="283"/>
        <w:jc w:val="left"/>
      </w:pPr>
      <w:r>
        <w:rPr>
          <w:rFonts w:ascii="Times New Roman" w:hAnsi="Times New Roman" w:eastAsia="맑은 고딕"/>
          <w:b w:val="0"/>
          <w:sz w:val="22"/>
        </w:rPr>
        <w:t>• 손지민 [15]</w:t>
      </w:r>
    </w:p>
    <w:p>
      <w:pPr>
        <w:spacing w:line="480" w:lineRule="auto" w:before="0" w:after="120"/>
        <w:ind w:firstLine="283"/>
        <w:jc w:val="left"/>
      </w:pPr>
      <w:r>
        <w:rPr>
          <w:rFonts w:ascii="Times New Roman" w:hAnsi="Times New Roman" w:eastAsia="맑은 고딕"/>
          <w:b w:val="0"/>
          <w:sz w:val="22"/>
        </w:rPr>
        <w:t>• 금융위원회 [5]</w:t>
      </w:r>
    </w:p>
    <w:p>
      <w:r>
        <w:br w:type="page"/>
      </w:r>
    </w:p>
    <w:p>
      <w:pPr>
        <w:pStyle w:val="Heading1"/>
        <w:spacing w:line="480" w:lineRule="auto" w:before="480" w:after="360"/>
        <w:jc w:val="center"/>
      </w:pPr>
      <w:r>
        <w:rPr>
          <w:rFonts w:ascii="Times New Roman" w:hAnsi="Times New Roman" w:eastAsia="맑은 고딕"/>
          <w:b/>
          <w:color w:val="000000"/>
          <w:sz w:val="32"/>
        </w:rPr>
        <w:t>부록 (Appendix)</w:t>
      </w:r>
    </w:p>
    <w:p>
      <w:pPr>
        <w:pStyle w:val="Heading2"/>
        <w:spacing w:line="480" w:lineRule="auto" w:before="360" w:after="240"/>
        <w:jc w:val="left"/>
      </w:pPr>
      <w:r>
        <w:rPr>
          <w:rFonts w:ascii="Times New Roman" w:hAnsi="Times New Roman" w:eastAsia="맑은 고딕"/>
          <w:b/>
          <w:color w:val="000000"/>
          <w:sz w:val="26"/>
        </w:rPr>
        <w:t>부록 A. SHAP Global Importance Top-50 (Home Credit)</w:t>
      </w:r>
    </w:p>
    <w:p>
      <w:pPr>
        <w:spacing w:line="480" w:lineRule="auto" w:before="0" w:after="120"/>
        <w:ind w:firstLine="283"/>
        <w:jc w:val="left"/>
      </w:pPr>
      <w:r>
        <w:rPr>
          <w:rFonts w:ascii="Times New Roman" w:hAnsi="Times New Roman" w:eastAsia="맑은 고딕"/>
          <w:b w:val="0"/>
          <w:sz w:val="22"/>
        </w:rPr>
        <w:t>본 연구의 XGBoost 모델에 대한 SHAP global importance(평균 절댓값 SHAP) 상위 50개 변수의 결과는 results/shap_global_xgboost.csv에 저장되어 있으며, 상위 20개를 본 부록에 정리한다.</w:t>
      </w:r>
    </w:p>
    <w:p>
      <w:pPr>
        <w:spacing w:line="480" w:lineRule="auto" w:before="0" w:after="120"/>
        <w:ind w:firstLine="283"/>
        <w:jc w:val="left"/>
      </w:pPr>
      <w:r>
        <w:rPr>
          <w:rFonts w:ascii="Times New Roman" w:hAnsi="Times New Roman" w:eastAsia="맑은 고딕"/>
          <w:b w:val="0"/>
          <w:sz w:val="22"/>
        </w:rPr>
        <w:t>표 A-1. Home Credit XGBoost SHAP global importance Top-20</w:t>
      </w:r>
    </w:p>
    <w:tbl>
      <w:tblPr>
        <w:tblStyle w:val="LightGrid"/>
        <w:tblW w:type="auto" w:w="0"/>
        <w:tblLook w:firstColumn="1" w:firstRow="1" w:lastColumn="0" w:lastRow="0" w:noHBand="0" w:noVBand="1" w:val="04A0"/>
      </w:tblPr>
      <w:tblGrid>
        <w:gridCol w:w="1520"/>
        <w:gridCol w:w="1520"/>
        <w:gridCol w:w="1520"/>
        <w:gridCol w:w="1520"/>
        <w:gridCol w:w="1520"/>
        <w:gridCol w:w="1520"/>
      </w:tblGrid>
      <w:tr>
        <w:tc>
          <w:tcPr>
            <w:tcW w:type="dxa" w:w="1520"/>
          </w:tcPr>
          <w:p>
            <w:r>
              <w:rPr>
                <w:rFonts w:ascii="Times New Roman" w:hAnsi="Times New Roman" w:eastAsia="맑은 고딕"/>
                <w:b/>
                <w:sz w:val="20"/>
              </w:rPr>
              <w:t>순위</w:t>
            </w:r>
          </w:p>
        </w:tc>
        <w:tc>
          <w:tcPr>
            <w:tcW w:type="dxa" w:w="1520"/>
          </w:tcPr>
          <w:p>
            <w:r>
              <w:rPr>
                <w:rFonts w:ascii="Times New Roman" w:hAnsi="Times New Roman" w:eastAsia="맑은 고딕"/>
                <w:b/>
                <w:sz w:val="20"/>
              </w:rPr>
              <w:t>변수</w:t>
            </w:r>
          </w:p>
        </w:tc>
        <w:tc>
          <w:tcPr>
            <w:tcW w:type="dxa" w:w="1520"/>
          </w:tcPr>
          <w:p>
            <w:r>
              <w:rPr>
                <w:rFonts w:ascii="Times New Roman" w:hAnsi="Times New Roman" w:eastAsia="맑은 고딕"/>
                <w:b/>
                <w:sz w:val="20"/>
              </w:rPr>
              <w:t>mean(</w:t>
            </w:r>
          </w:p>
        </w:tc>
        <w:tc>
          <w:tcPr>
            <w:tcW w:type="dxa" w:w="1520"/>
          </w:tcPr>
          <w:p>
            <w:r>
              <w:rPr>
                <w:rFonts w:ascii="Times New Roman" w:hAnsi="Times New Roman" w:eastAsia="맑은 고딕"/>
                <w:b/>
                <w:sz w:val="20"/>
              </w:rPr>
              <w:t>SHAP</w:t>
            </w:r>
          </w:p>
        </w:tc>
        <w:tc>
          <w:tcPr>
            <w:tcW w:type="dxa" w:w="1520"/>
          </w:tcPr>
          <w:p>
            <w:r>
              <w:rPr>
                <w:rFonts w:ascii="Times New Roman" w:hAnsi="Times New Roman" w:eastAsia="맑은 고딕"/>
                <w:b/>
                <w:sz w:val="20"/>
              </w:rPr>
              <w:t>)</w:t>
            </w:r>
          </w:p>
        </w:tc>
        <w:tc>
          <w:tcPr>
            <w:tcW w:type="dxa" w:w="1520"/>
          </w:tcPr>
          <w:p>
            <w:r>
              <w:rPr>
                <w:rFonts w:ascii="Times New Roman" w:hAnsi="Times New Roman" w:eastAsia="맑은 고딕"/>
                <w:b/>
                <w:sz w:val="20"/>
              </w:rPr>
              <w:t>비고</w:t>
            </w:r>
          </w:p>
        </w:tc>
      </w:tr>
      <w:tr>
        <w:tc>
          <w:tcPr>
            <w:tcW w:type="dxa" w:w="1520"/>
          </w:tcPr>
          <w:p>
            <w:r>
              <w:rPr>
                <w:rFonts w:ascii="Times New Roman" w:hAnsi="Times New Roman" w:eastAsia="맑은 고딕"/>
                <w:b w:val="0"/>
                <w:sz w:val="20"/>
              </w:rPr>
              <w:t>1</w:t>
            </w:r>
          </w:p>
        </w:tc>
        <w:tc>
          <w:tcPr>
            <w:tcW w:type="dxa" w:w="1520"/>
          </w:tcPr>
          <w:p>
            <w:r>
              <w:rPr>
                <w:rFonts w:ascii="Times New Roman" w:hAnsi="Times New Roman" w:eastAsia="맑은 고딕"/>
                <w:b w:val="0"/>
                <w:sz w:val="20"/>
              </w:rPr>
              <w:t>EXT_SOURCE_2</w:t>
            </w:r>
          </w:p>
        </w:tc>
        <w:tc>
          <w:tcPr>
            <w:tcW w:type="dxa" w:w="1520"/>
          </w:tcPr>
          <w:p>
            <w:r>
              <w:rPr>
                <w:rFonts w:ascii="Times New Roman" w:hAnsi="Times New Roman" w:eastAsia="맑은 고딕"/>
                <w:b w:val="0"/>
                <w:sz w:val="20"/>
              </w:rPr>
              <w:t>(값)</w:t>
            </w:r>
          </w:p>
        </w:tc>
        <w:tc>
          <w:tcPr>
            <w:tcW w:type="dxa" w:w="1520"/>
          </w:tcPr>
          <w:p>
            <w:r>
              <w:rPr>
                <w:rFonts w:ascii="Times New Roman" w:hAnsi="Times New Roman" w:eastAsia="맑은 고딕"/>
                <w:b w:val="0"/>
                <w:sz w:val="20"/>
              </w:rPr>
              <w:t>외부 신용평가 점수 2</w:t>
            </w:r>
          </w:p>
        </w:tc>
        <w:tc>
          <w:tcPr>
            <w:tcW w:type="dxa" w:w="1520"/>
          </w:tcPr>
          <w:p/>
        </w:tc>
        <w:tc>
          <w:tcPr>
            <w:tcW w:type="dxa" w:w="1520"/>
          </w:tcPr>
          <w:p/>
        </w:tc>
      </w:tr>
      <w:tr>
        <w:tc>
          <w:tcPr>
            <w:tcW w:type="dxa" w:w="1520"/>
          </w:tcPr>
          <w:p>
            <w:r>
              <w:rPr>
                <w:rFonts w:ascii="Times New Roman" w:hAnsi="Times New Roman" w:eastAsia="맑은 고딕"/>
                <w:b w:val="0"/>
                <w:sz w:val="20"/>
              </w:rPr>
              <w:t>2</w:t>
            </w:r>
          </w:p>
        </w:tc>
        <w:tc>
          <w:tcPr>
            <w:tcW w:type="dxa" w:w="1520"/>
          </w:tcPr>
          <w:p>
            <w:r>
              <w:rPr>
                <w:rFonts w:ascii="Times New Roman" w:hAnsi="Times New Roman" w:eastAsia="맑은 고딕"/>
                <w:b w:val="0"/>
                <w:sz w:val="20"/>
              </w:rPr>
              <w:t>EXT_SOURCE_3</w:t>
            </w:r>
          </w:p>
        </w:tc>
        <w:tc>
          <w:tcPr>
            <w:tcW w:type="dxa" w:w="1520"/>
          </w:tcPr>
          <w:p>
            <w:r>
              <w:rPr>
                <w:rFonts w:ascii="Times New Roman" w:hAnsi="Times New Roman" w:eastAsia="맑은 고딕"/>
                <w:b w:val="0"/>
                <w:sz w:val="20"/>
              </w:rPr>
              <w:t>(값)</w:t>
            </w:r>
          </w:p>
        </w:tc>
        <w:tc>
          <w:tcPr>
            <w:tcW w:type="dxa" w:w="1520"/>
          </w:tcPr>
          <w:p>
            <w:r>
              <w:rPr>
                <w:rFonts w:ascii="Times New Roman" w:hAnsi="Times New Roman" w:eastAsia="맑은 고딕"/>
                <w:b w:val="0"/>
                <w:sz w:val="20"/>
              </w:rPr>
              <w:t>외부 신용평가 점수 3</w:t>
            </w:r>
          </w:p>
        </w:tc>
        <w:tc>
          <w:tcPr>
            <w:tcW w:type="dxa" w:w="1520"/>
          </w:tcPr>
          <w:p/>
        </w:tc>
        <w:tc>
          <w:tcPr>
            <w:tcW w:type="dxa" w:w="1520"/>
          </w:tcPr>
          <w:p/>
        </w:tc>
      </w:tr>
      <w:tr>
        <w:tc>
          <w:tcPr>
            <w:tcW w:type="dxa" w:w="1520"/>
          </w:tcPr>
          <w:p>
            <w:r>
              <w:rPr>
                <w:rFonts w:ascii="Times New Roman" w:hAnsi="Times New Roman" w:eastAsia="맑은 고딕"/>
                <w:b w:val="0"/>
                <w:sz w:val="20"/>
              </w:rPr>
              <w:t>3</w:t>
            </w:r>
          </w:p>
        </w:tc>
        <w:tc>
          <w:tcPr>
            <w:tcW w:type="dxa" w:w="1520"/>
          </w:tcPr>
          <w:p>
            <w:r>
              <w:rPr>
                <w:rFonts w:ascii="Times New Roman" w:hAnsi="Times New Roman" w:eastAsia="맑은 고딕"/>
                <w:b w:val="0"/>
                <w:sz w:val="20"/>
              </w:rPr>
              <w:t>EXT_SOURCE_1</w:t>
            </w:r>
          </w:p>
        </w:tc>
        <w:tc>
          <w:tcPr>
            <w:tcW w:type="dxa" w:w="1520"/>
          </w:tcPr>
          <w:p>
            <w:r>
              <w:rPr>
                <w:rFonts w:ascii="Times New Roman" w:hAnsi="Times New Roman" w:eastAsia="맑은 고딕"/>
                <w:b w:val="0"/>
                <w:sz w:val="20"/>
              </w:rPr>
              <w:t>(값)</w:t>
            </w:r>
          </w:p>
        </w:tc>
        <w:tc>
          <w:tcPr>
            <w:tcW w:type="dxa" w:w="1520"/>
          </w:tcPr>
          <w:p>
            <w:r>
              <w:rPr>
                <w:rFonts w:ascii="Times New Roman" w:hAnsi="Times New Roman" w:eastAsia="맑은 고딕"/>
                <w:b w:val="0"/>
                <w:sz w:val="20"/>
              </w:rPr>
              <w:t>외부 신용평가 점수 1</w:t>
            </w:r>
          </w:p>
        </w:tc>
        <w:tc>
          <w:tcPr>
            <w:tcW w:type="dxa" w:w="1520"/>
          </w:tcPr>
          <w:p/>
        </w:tc>
        <w:tc>
          <w:tcPr>
            <w:tcW w:type="dxa" w:w="1520"/>
          </w:tcPr>
          <w:p/>
        </w:tc>
      </w:tr>
      <w:tr>
        <w:tc>
          <w:tcPr>
            <w:tcW w:type="dxa" w:w="1520"/>
          </w:tcPr>
          <w:p>
            <w:r>
              <w:rPr>
                <w:rFonts w:ascii="Times New Roman" w:hAnsi="Times New Roman" w:eastAsia="맑은 고딕"/>
                <w:b w:val="0"/>
                <w:sz w:val="20"/>
              </w:rPr>
              <w:t>4</w:t>
            </w:r>
          </w:p>
        </w:tc>
        <w:tc>
          <w:tcPr>
            <w:tcW w:type="dxa" w:w="1520"/>
          </w:tcPr>
          <w:p>
            <w:r>
              <w:rPr>
                <w:rFonts w:ascii="Times New Roman" w:hAnsi="Times New Roman" w:eastAsia="맑은 고딕"/>
                <w:b w:val="0"/>
                <w:sz w:val="20"/>
              </w:rPr>
              <w:t>DAYS_BIRTH</w:t>
            </w:r>
          </w:p>
        </w:tc>
        <w:tc>
          <w:tcPr>
            <w:tcW w:type="dxa" w:w="1520"/>
          </w:tcPr>
          <w:p>
            <w:r>
              <w:rPr>
                <w:rFonts w:ascii="Times New Roman" w:hAnsi="Times New Roman" w:eastAsia="맑은 고딕"/>
                <w:b w:val="0"/>
                <w:sz w:val="20"/>
              </w:rPr>
              <w:t>(값)</w:t>
            </w:r>
          </w:p>
        </w:tc>
        <w:tc>
          <w:tcPr>
            <w:tcW w:type="dxa" w:w="1520"/>
          </w:tcPr>
          <w:p>
            <w:r>
              <w:rPr>
                <w:rFonts w:ascii="Times New Roman" w:hAnsi="Times New Roman" w:eastAsia="맑은 고딕"/>
                <w:b w:val="0"/>
                <w:sz w:val="20"/>
              </w:rPr>
              <w:t>연령 (보호 속성)</w:t>
            </w:r>
          </w:p>
        </w:tc>
        <w:tc>
          <w:tcPr>
            <w:tcW w:type="dxa" w:w="1520"/>
          </w:tcPr>
          <w:p/>
        </w:tc>
        <w:tc>
          <w:tcPr>
            <w:tcW w:type="dxa" w:w="1520"/>
          </w:tcPr>
          <w:p/>
        </w:tc>
      </w:tr>
      <w:tr>
        <w:tc>
          <w:tcPr>
            <w:tcW w:type="dxa" w:w="1520"/>
          </w:tcPr>
          <w:p>
            <w:r>
              <w:rPr>
                <w:rFonts w:ascii="Times New Roman" w:hAnsi="Times New Roman" w:eastAsia="맑은 고딕"/>
                <w:b w:val="0"/>
                <w:sz w:val="20"/>
              </w:rPr>
              <w:t>5</w:t>
            </w:r>
          </w:p>
        </w:tc>
        <w:tc>
          <w:tcPr>
            <w:tcW w:type="dxa" w:w="1520"/>
          </w:tcPr>
          <w:p>
            <w:r>
              <w:rPr>
                <w:rFonts w:ascii="Times New Roman" w:hAnsi="Times New Roman" w:eastAsia="맑은 고딕"/>
                <w:b w:val="0"/>
                <w:sz w:val="20"/>
              </w:rPr>
              <w:t>AMT_GOODS_PRICE</w:t>
            </w:r>
          </w:p>
        </w:tc>
        <w:tc>
          <w:tcPr>
            <w:tcW w:type="dxa" w:w="1520"/>
          </w:tcPr>
          <w:p>
            <w:r>
              <w:rPr>
                <w:rFonts w:ascii="Times New Roman" w:hAnsi="Times New Roman" w:eastAsia="맑은 고딕"/>
                <w:b w:val="0"/>
                <w:sz w:val="20"/>
              </w:rPr>
              <w:t>(값)</w:t>
            </w:r>
          </w:p>
        </w:tc>
        <w:tc>
          <w:tcPr>
            <w:tcW w:type="dxa" w:w="1520"/>
          </w:tcPr>
          <w:p>
            <w:r>
              <w:rPr>
                <w:rFonts w:ascii="Times New Roman" w:hAnsi="Times New Roman" w:eastAsia="맑은 고딕"/>
                <w:b w:val="0"/>
                <w:sz w:val="20"/>
              </w:rPr>
              <w:t>구매 대상 상품 가격</w:t>
            </w:r>
          </w:p>
        </w:tc>
        <w:tc>
          <w:tcPr>
            <w:tcW w:type="dxa" w:w="1520"/>
          </w:tcPr>
          <w:p/>
        </w:tc>
        <w:tc>
          <w:tcPr>
            <w:tcW w:type="dxa" w:w="1520"/>
          </w:tcPr>
          <w:p/>
        </w:tc>
      </w:tr>
      <w:tr>
        <w:tc>
          <w:tcPr>
            <w:tcW w:type="dxa" w:w="1520"/>
          </w:tcPr>
          <w:p>
            <w:r>
              <w:rPr>
                <w:rFonts w:ascii="Times New Roman" w:hAnsi="Times New Roman" w:eastAsia="맑은 고딕"/>
                <w:b w:val="0"/>
                <w:sz w:val="20"/>
              </w:rPr>
              <w:t>...</w:t>
            </w:r>
          </w:p>
        </w:tc>
        <w:tc>
          <w:tcPr>
            <w:tcW w:type="dxa" w:w="1520"/>
          </w:tcPr>
          <w:p>
            <w:r>
              <w:rPr>
                <w:rFonts w:ascii="Times New Roman" w:hAnsi="Times New Roman" w:eastAsia="맑은 고딕"/>
                <w:b w:val="0"/>
                <w:sz w:val="20"/>
              </w:rPr>
              <w:t>...</w:t>
            </w:r>
          </w:p>
        </w:tc>
        <w:tc>
          <w:tcPr>
            <w:tcW w:type="dxa" w:w="1520"/>
          </w:tcPr>
          <w:p>
            <w:r>
              <w:rPr>
                <w:rFonts w:ascii="Times New Roman" w:hAnsi="Times New Roman" w:eastAsia="맑은 고딕"/>
                <w:b w:val="0"/>
                <w:sz w:val="20"/>
              </w:rPr>
              <w:t>...</w:t>
            </w:r>
          </w:p>
        </w:tc>
        <w:tc>
          <w:tcPr>
            <w:tcW w:type="dxa" w:w="1520"/>
          </w:tcPr>
          <w:p>
            <w:r>
              <w:rPr>
                <w:rFonts w:ascii="Times New Roman" w:hAnsi="Times New Roman" w:eastAsia="맑은 고딕"/>
                <w:b w:val="0"/>
                <w:sz w:val="20"/>
              </w:rPr>
              <w:t>...</w:t>
            </w:r>
          </w:p>
        </w:tc>
        <w:tc>
          <w:tcPr>
            <w:tcW w:type="dxa" w:w="1520"/>
          </w:tcPr>
          <w:p/>
        </w:tc>
        <w:tc>
          <w:tcPr>
            <w:tcW w:type="dxa" w:w="1520"/>
          </w:tcPr>
          <w:p/>
        </w:tc>
      </w:tr>
    </w:tbl>
    <w:p>
      <w:pPr>
        <w:spacing w:line="360" w:lineRule="auto" w:before="120" w:after="120"/>
        <w:jc w:val="center"/>
      </w:pPr>
      <w:r>
        <w:rPr>
          <w:rFonts w:ascii="Times New Roman" w:hAnsi="Times New Roman" w:eastAsia="맑은 고딕"/>
          <w:b w:val="0"/>
          <w:i/>
          <w:sz w:val="22"/>
        </w:rPr>
        <w:t>본 표는 docx 통합 시 `results/shap_global_xgboost.csv`에서 직접 추출하여 채운다.</w:t>
      </w:r>
    </w:p>
    <w:p>
      <w:pPr>
        <w:pStyle w:val="Heading2"/>
        <w:spacing w:line="480" w:lineRule="auto" w:before="360" w:after="240"/>
        <w:jc w:val="left"/>
      </w:pPr>
      <w:r>
        <w:rPr>
          <w:rFonts w:ascii="Times New Roman" w:hAnsi="Times New Roman" w:eastAsia="맑은 고딕"/>
          <w:b/>
          <w:color w:val="000000"/>
          <w:sz w:val="26"/>
        </w:rPr>
        <w:t>부록 B. 보호 속성 분포 (양 데이터셋)</w:t>
      </w:r>
    </w:p>
    <w:p>
      <w:pPr>
        <w:pStyle w:val="Heading3"/>
        <w:spacing w:line="480" w:lineRule="auto" w:before="240" w:after="120"/>
        <w:jc w:val="left"/>
      </w:pPr>
      <w:r>
        <w:rPr>
          <w:rFonts w:ascii="Times New Roman" w:hAnsi="Times New Roman" w:eastAsia="맑은 고딕"/>
          <w:b/>
          <w:color w:val="000000"/>
          <w:sz w:val="22"/>
        </w:rPr>
        <w:t>B.1 Home Credit</w:t>
      </w:r>
    </w:p>
    <w:p>
      <w:pPr>
        <w:spacing w:line="480" w:lineRule="auto" w:before="0" w:after="120"/>
        <w:ind w:firstLine="283"/>
        <w:jc w:val="left"/>
      </w:pPr>
      <w:r>
        <w:rPr>
          <w:rFonts w:ascii="Times New Roman" w:hAnsi="Times New Roman" w:eastAsia="맑은 고딕"/>
          <w:b w:val="0"/>
          <w:sz w:val="22"/>
        </w:rPr>
        <w:t>표 B-1. Home Credit 성별 분포 및 부도율</w:t>
      </w:r>
    </w:p>
    <w:tbl>
      <w:tblPr>
        <w:tblStyle w:val="LightGrid"/>
        <w:tblW w:type="auto" w:w="0"/>
        <w:tblLook w:firstColumn="1" w:firstRow="1" w:lastColumn="0" w:lastRow="0" w:noHBand="0" w:noVBand="1" w:val="04A0"/>
      </w:tblPr>
      <w:tblGrid>
        <w:gridCol w:w="2280"/>
        <w:gridCol w:w="2280"/>
        <w:gridCol w:w="2280"/>
        <w:gridCol w:w="2280"/>
      </w:tblGrid>
      <w:tr>
        <w:tc>
          <w:tcPr>
            <w:tcW w:type="dxa" w:w="2280"/>
          </w:tcPr>
          <w:p>
            <w:r>
              <w:rPr>
                <w:rFonts w:ascii="Times New Roman" w:hAnsi="Times New Roman" w:eastAsia="맑은 고딕"/>
                <w:b/>
                <w:sz w:val="20"/>
              </w:rPr>
              <w:t>성별</w:t>
            </w:r>
          </w:p>
        </w:tc>
        <w:tc>
          <w:tcPr>
            <w:tcW w:type="dxa" w:w="2280"/>
          </w:tcPr>
          <w:p>
            <w:r>
              <w:rPr>
                <w:rFonts w:ascii="Times New Roman" w:hAnsi="Times New Roman" w:eastAsia="맑은 고딕"/>
                <w:b/>
                <w:sz w:val="20"/>
              </w:rPr>
              <w:t>인스턴스 수</w:t>
            </w:r>
          </w:p>
        </w:tc>
        <w:tc>
          <w:tcPr>
            <w:tcW w:type="dxa" w:w="2280"/>
          </w:tcPr>
          <w:p>
            <w:r>
              <w:rPr>
                <w:rFonts w:ascii="Times New Roman" w:hAnsi="Times New Roman" w:eastAsia="맑은 고딕"/>
                <w:b/>
                <w:sz w:val="20"/>
              </w:rPr>
              <w:t>비율</w:t>
            </w:r>
          </w:p>
        </w:tc>
        <w:tc>
          <w:tcPr>
            <w:tcW w:type="dxa" w:w="2280"/>
          </w:tcPr>
          <w:p>
            <w:r>
              <w:rPr>
                <w:rFonts w:ascii="Times New Roman" w:hAnsi="Times New Roman" w:eastAsia="맑은 고딕"/>
                <w:b/>
                <w:sz w:val="20"/>
              </w:rPr>
              <w:t>부도율</w:t>
            </w:r>
          </w:p>
        </w:tc>
      </w:tr>
      <w:tr>
        <w:tc>
          <w:tcPr>
            <w:tcW w:type="dxa" w:w="2280"/>
          </w:tcPr>
          <w:p>
            <w:r>
              <w:rPr>
                <w:rFonts w:ascii="Times New Roman" w:hAnsi="Times New Roman" w:eastAsia="맑은 고딕"/>
                <w:b w:val="0"/>
                <w:sz w:val="20"/>
              </w:rPr>
              <w:t>여성 (F)</w:t>
            </w:r>
          </w:p>
        </w:tc>
        <w:tc>
          <w:tcPr>
            <w:tcW w:type="dxa" w:w="2280"/>
          </w:tcPr>
          <w:p>
            <w:r>
              <w:rPr>
                <w:rFonts w:ascii="Times New Roman" w:hAnsi="Times New Roman" w:eastAsia="맑은 고딕"/>
                <w:b w:val="0"/>
                <w:sz w:val="20"/>
              </w:rPr>
              <w:t>202,448</w:t>
            </w:r>
          </w:p>
        </w:tc>
        <w:tc>
          <w:tcPr>
            <w:tcW w:type="dxa" w:w="2280"/>
          </w:tcPr>
          <w:p>
            <w:r>
              <w:rPr>
                <w:rFonts w:ascii="Times New Roman" w:hAnsi="Times New Roman" w:eastAsia="맑은 고딕"/>
                <w:b w:val="0"/>
                <w:sz w:val="20"/>
              </w:rPr>
              <w:t>65.85%</w:t>
            </w:r>
          </w:p>
        </w:tc>
        <w:tc>
          <w:tcPr>
            <w:tcW w:type="dxa" w:w="2280"/>
          </w:tcPr>
          <w:p>
            <w:r>
              <w:rPr>
                <w:rFonts w:ascii="Times New Roman" w:hAnsi="Times New Roman" w:eastAsia="맑은 고딕"/>
                <w:b w:val="0"/>
                <w:sz w:val="20"/>
              </w:rPr>
              <w:t>7.00%</w:t>
            </w:r>
          </w:p>
        </w:tc>
      </w:tr>
      <w:tr>
        <w:tc>
          <w:tcPr>
            <w:tcW w:type="dxa" w:w="2280"/>
          </w:tcPr>
          <w:p>
            <w:r>
              <w:rPr>
                <w:rFonts w:ascii="Times New Roman" w:hAnsi="Times New Roman" w:eastAsia="맑은 고딕"/>
                <w:b w:val="0"/>
                <w:sz w:val="20"/>
              </w:rPr>
              <w:t>남성 (M)</w:t>
            </w:r>
          </w:p>
        </w:tc>
        <w:tc>
          <w:tcPr>
            <w:tcW w:type="dxa" w:w="2280"/>
          </w:tcPr>
          <w:p>
            <w:r>
              <w:rPr>
                <w:rFonts w:ascii="Times New Roman" w:hAnsi="Times New Roman" w:eastAsia="맑은 고딕"/>
                <w:b w:val="0"/>
                <w:sz w:val="20"/>
              </w:rPr>
              <w:t>105,059</w:t>
            </w:r>
          </w:p>
        </w:tc>
        <w:tc>
          <w:tcPr>
            <w:tcW w:type="dxa" w:w="2280"/>
          </w:tcPr>
          <w:p>
            <w:r>
              <w:rPr>
                <w:rFonts w:ascii="Times New Roman" w:hAnsi="Times New Roman" w:eastAsia="맑은 고딕"/>
                <w:b w:val="0"/>
                <w:sz w:val="20"/>
              </w:rPr>
              <w:t>34.15%</w:t>
            </w:r>
          </w:p>
        </w:tc>
        <w:tc>
          <w:tcPr>
            <w:tcW w:type="dxa" w:w="2280"/>
          </w:tcPr>
          <w:p>
            <w:r>
              <w:rPr>
                <w:rFonts w:ascii="Times New Roman" w:hAnsi="Times New Roman" w:eastAsia="맑은 고딕"/>
                <w:b w:val="0"/>
                <w:sz w:val="20"/>
              </w:rPr>
              <w:t>10.14%</w:t>
            </w:r>
          </w:p>
        </w:tc>
      </w:tr>
      <w:tr>
        <w:tc>
          <w:tcPr>
            <w:tcW w:type="dxa" w:w="2280"/>
          </w:tcPr>
          <w:p>
            <w:r>
              <w:rPr>
                <w:rFonts w:ascii="Times New Roman" w:hAnsi="Times New Roman" w:eastAsia="맑은 고딕"/>
                <w:b w:val="0"/>
                <w:sz w:val="20"/>
              </w:rPr>
              <w:t>미상 (XNA)</w:t>
            </w:r>
          </w:p>
        </w:tc>
        <w:tc>
          <w:tcPr>
            <w:tcW w:type="dxa" w:w="2280"/>
          </w:tcPr>
          <w:p>
            <w:r>
              <w:rPr>
                <w:rFonts w:ascii="Times New Roman" w:hAnsi="Times New Roman" w:eastAsia="맑은 고딕"/>
                <w:b w:val="0"/>
                <w:sz w:val="20"/>
              </w:rPr>
              <w:t>4</w:t>
            </w:r>
          </w:p>
        </w:tc>
        <w:tc>
          <w:tcPr>
            <w:tcW w:type="dxa" w:w="2280"/>
          </w:tcPr>
          <w:p>
            <w:r>
              <w:rPr>
                <w:rFonts w:ascii="Times New Roman" w:hAnsi="Times New Roman" w:eastAsia="맑은 고딕"/>
                <w:b w:val="0"/>
                <w:sz w:val="20"/>
              </w:rPr>
              <w:t>0.001%</w:t>
            </w:r>
          </w:p>
        </w:tc>
        <w:tc>
          <w:tcPr>
            <w:tcW w:type="dxa" w:w="2280"/>
          </w:tcPr>
          <w:p>
            <w:r>
              <w:rPr>
                <w:rFonts w:ascii="Times New Roman" w:hAnsi="Times New Roman" w:eastAsia="맑은 고딕"/>
                <w:b w:val="0"/>
                <w:sz w:val="20"/>
              </w:rPr>
              <w:t>0.00%</w:t>
            </w:r>
          </w:p>
        </w:tc>
      </w:tr>
    </w:tbl>
    <w:p>
      <w:pPr>
        <w:spacing w:line="480" w:lineRule="auto" w:before="0" w:after="120"/>
        <w:ind w:firstLine="283"/>
        <w:jc w:val="left"/>
      </w:pPr>
      <w:r>
        <w:rPr>
          <w:rFonts w:ascii="Times New Roman" w:hAnsi="Times New Roman" w:eastAsia="맑은 고딕"/>
          <w:b w:val="0"/>
          <w:sz w:val="22"/>
        </w:rPr>
        <w:t>표 B-2. Home Credit 연령 구간별 부도율</w:t>
      </w:r>
    </w:p>
    <w:tbl>
      <w:tblPr>
        <w:tblStyle w:val="LightGrid"/>
        <w:tblW w:type="auto" w:w="0"/>
        <w:tblLook w:firstColumn="1" w:firstRow="1" w:lastColumn="0" w:lastRow="0" w:noHBand="0" w:noVBand="1" w:val="04A0"/>
      </w:tblPr>
      <w:tblGrid>
        <w:gridCol w:w="3041"/>
        <w:gridCol w:w="3041"/>
        <w:gridCol w:w="3041"/>
      </w:tblGrid>
      <w:tr>
        <w:tc>
          <w:tcPr>
            <w:tcW w:type="dxa" w:w="3041"/>
          </w:tcPr>
          <w:p>
            <w:r>
              <w:rPr>
                <w:rFonts w:ascii="Times New Roman" w:hAnsi="Times New Roman" w:eastAsia="맑은 고딕"/>
                <w:b/>
                <w:sz w:val="20"/>
              </w:rPr>
              <w:t>구간</w:t>
            </w:r>
          </w:p>
        </w:tc>
        <w:tc>
          <w:tcPr>
            <w:tcW w:type="dxa" w:w="3041"/>
          </w:tcPr>
          <w:p>
            <w:r>
              <w:rPr>
                <w:rFonts w:ascii="Times New Roman" w:hAnsi="Times New Roman" w:eastAsia="맑은 고딕"/>
                <w:b/>
                <w:sz w:val="20"/>
              </w:rPr>
              <w:t>평균 연령</w:t>
            </w:r>
          </w:p>
        </w:tc>
        <w:tc>
          <w:tcPr>
            <w:tcW w:type="dxa" w:w="3041"/>
          </w:tcPr>
          <w:p>
            <w:r>
              <w:rPr>
                <w:rFonts w:ascii="Times New Roman" w:hAnsi="Times New Roman" w:eastAsia="맑은 고딕"/>
                <w:b/>
                <w:sz w:val="20"/>
              </w:rPr>
              <w:t>부도율</w:t>
            </w:r>
          </w:p>
        </w:tc>
      </w:tr>
      <w:tr>
        <w:tc>
          <w:tcPr>
            <w:tcW w:type="dxa" w:w="3041"/>
          </w:tcPr>
          <w:p>
            <w:r>
              <w:rPr>
                <w:rFonts w:ascii="Times New Roman" w:hAnsi="Times New Roman" w:eastAsia="맑은 고딕"/>
                <w:b w:val="0"/>
                <w:sz w:val="20"/>
              </w:rPr>
              <w:t>25-35세</w:t>
            </w:r>
          </w:p>
        </w:tc>
        <w:tc>
          <w:tcPr>
            <w:tcW w:type="dxa" w:w="3041"/>
          </w:tcPr>
          <w:p>
            <w:r>
              <w:rPr>
                <w:rFonts w:ascii="Times New Roman" w:hAnsi="Times New Roman" w:eastAsia="맑은 고딕"/>
                <w:b w:val="0"/>
                <w:sz w:val="20"/>
              </w:rPr>
              <w:t>30.5</w:t>
            </w:r>
          </w:p>
        </w:tc>
        <w:tc>
          <w:tcPr>
            <w:tcW w:type="dxa" w:w="3041"/>
          </w:tcPr>
          <w:p>
            <w:r>
              <w:rPr>
                <w:rFonts w:ascii="Times New Roman" w:hAnsi="Times New Roman" w:eastAsia="맑은 고딕"/>
                <w:b w:val="0"/>
                <w:sz w:val="20"/>
              </w:rPr>
              <w:t>(값)</w:t>
            </w:r>
          </w:p>
        </w:tc>
      </w:tr>
      <w:tr>
        <w:tc>
          <w:tcPr>
            <w:tcW w:type="dxa" w:w="3041"/>
          </w:tcPr>
          <w:p>
            <w:r>
              <w:rPr>
                <w:rFonts w:ascii="Times New Roman" w:hAnsi="Times New Roman" w:eastAsia="맑은 고딕"/>
                <w:b w:val="0"/>
                <w:sz w:val="20"/>
              </w:rPr>
              <w:t>35-45세</w:t>
            </w:r>
          </w:p>
        </w:tc>
        <w:tc>
          <w:tcPr>
            <w:tcW w:type="dxa" w:w="3041"/>
          </w:tcPr>
          <w:p>
            <w:r>
              <w:rPr>
                <w:rFonts w:ascii="Times New Roman" w:hAnsi="Times New Roman" w:eastAsia="맑은 고딕"/>
                <w:b w:val="0"/>
                <w:sz w:val="20"/>
              </w:rPr>
              <w:t>40.0</w:t>
            </w:r>
          </w:p>
        </w:tc>
        <w:tc>
          <w:tcPr>
            <w:tcW w:type="dxa" w:w="3041"/>
          </w:tcPr>
          <w:p>
            <w:r>
              <w:rPr>
                <w:rFonts w:ascii="Times New Roman" w:hAnsi="Times New Roman" w:eastAsia="맑은 고딕"/>
                <w:b w:val="0"/>
                <w:sz w:val="20"/>
              </w:rPr>
              <w:t>(값)</w:t>
            </w:r>
          </w:p>
        </w:tc>
      </w:tr>
      <w:tr>
        <w:tc>
          <w:tcPr>
            <w:tcW w:type="dxa" w:w="3041"/>
          </w:tcPr>
          <w:p>
            <w:r>
              <w:rPr>
                <w:rFonts w:ascii="Times New Roman" w:hAnsi="Times New Roman" w:eastAsia="맑은 고딕"/>
                <w:b w:val="0"/>
                <w:sz w:val="20"/>
              </w:rPr>
              <w:t>45-55세</w:t>
            </w:r>
          </w:p>
        </w:tc>
        <w:tc>
          <w:tcPr>
            <w:tcW w:type="dxa" w:w="3041"/>
          </w:tcPr>
          <w:p>
            <w:r>
              <w:rPr>
                <w:rFonts w:ascii="Times New Roman" w:hAnsi="Times New Roman" w:eastAsia="맑은 고딕"/>
                <w:b w:val="0"/>
                <w:sz w:val="20"/>
              </w:rPr>
              <w:t>50.0</w:t>
            </w:r>
          </w:p>
        </w:tc>
        <w:tc>
          <w:tcPr>
            <w:tcW w:type="dxa" w:w="3041"/>
          </w:tcPr>
          <w:p>
            <w:r>
              <w:rPr>
                <w:rFonts w:ascii="Times New Roman" w:hAnsi="Times New Roman" w:eastAsia="맑은 고딕"/>
                <w:b w:val="0"/>
                <w:sz w:val="20"/>
              </w:rPr>
              <w:t>(값)</w:t>
            </w:r>
          </w:p>
        </w:tc>
      </w:tr>
      <w:tr>
        <w:tc>
          <w:tcPr>
            <w:tcW w:type="dxa" w:w="3041"/>
          </w:tcPr>
          <w:p>
            <w:r>
              <w:rPr>
                <w:rFonts w:ascii="Times New Roman" w:hAnsi="Times New Roman" w:eastAsia="맑은 고딕"/>
                <w:b w:val="0"/>
                <w:sz w:val="20"/>
              </w:rPr>
              <w:t>55세+</w:t>
            </w:r>
          </w:p>
        </w:tc>
        <w:tc>
          <w:tcPr>
            <w:tcW w:type="dxa" w:w="3041"/>
          </w:tcPr>
          <w:p>
            <w:r>
              <w:rPr>
                <w:rFonts w:ascii="Times New Roman" w:hAnsi="Times New Roman" w:eastAsia="맑은 고딕"/>
                <w:b w:val="0"/>
                <w:sz w:val="20"/>
              </w:rPr>
              <w:t>62.5</w:t>
            </w:r>
          </w:p>
        </w:tc>
        <w:tc>
          <w:tcPr>
            <w:tcW w:type="dxa" w:w="3041"/>
          </w:tcPr>
          <w:p>
            <w:r>
              <w:rPr>
                <w:rFonts w:ascii="Times New Roman" w:hAnsi="Times New Roman" w:eastAsia="맑은 고딕"/>
                <w:b w:val="0"/>
                <w:sz w:val="20"/>
              </w:rPr>
              <w:t>(값)</w:t>
            </w:r>
          </w:p>
        </w:tc>
      </w:tr>
    </w:tbl>
    <w:p>
      <w:pPr>
        <w:pStyle w:val="Heading3"/>
        <w:spacing w:line="480" w:lineRule="auto" w:before="240" w:after="120"/>
        <w:jc w:val="left"/>
      </w:pPr>
      <w:r>
        <w:rPr>
          <w:rFonts w:ascii="Times New Roman" w:hAnsi="Times New Roman" w:eastAsia="맑은 고딕"/>
          <w:b/>
          <w:color w:val="000000"/>
          <w:sz w:val="22"/>
        </w:rPr>
        <w:t>B.2 UCI German Credit</w:t>
      </w:r>
    </w:p>
    <w:p>
      <w:pPr>
        <w:spacing w:line="480" w:lineRule="auto" w:before="0" w:after="120"/>
        <w:ind w:firstLine="283"/>
        <w:jc w:val="left"/>
      </w:pPr>
      <w:r>
        <w:rPr>
          <w:rFonts w:ascii="Times New Roman" w:hAnsi="Times New Roman" w:eastAsia="맑은 고딕"/>
          <w:b w:val="0"/>
          <w:sz w:val="22"/>
        </w:rPr>
        <w:t>표 B-3. UCI German Credit 성별·외국인·연령 분포</w:t>
      </w:r>
    </w:p>
    <w:tbl>
      <w:tblPr>
        <w:tblStyle w:val="LightGrid"/>
        <w:tblW w:type="auto" w:w="0"/>
        <w:tblLook w:firstColumn="1" w:firstRow="1" w:lastColumn="0" w:lastRow="0" w:noHBand="0" w:noVBand="1" w:val="04A0"/>
      </w:tblPr>
      <w:tblGrid>
        <w:gridCol w:w="4561"/>
        <w:gridCol w:w="4561"/>
      </w:tblGrid>
      <w:tr>
        <w:tc>
          <w:tcPr>
            <w:tcW w:type="dxa" w:w="4561"/>
          </w:tcPr>
          <w:p>
            <w:r>
              <w:rPr>
                <w:rFonts w:ascii="Times New Roman" w:hAnsi="Times New Roman" w:eastAsia="맑은 고딕"/>
                <w:b/>
                <w:sz w:val="20"/>
              </w:rPr>
              <w:t>항목</w:t>
            </w:r>
          </w:p>
        </w:tc>
        <w:tc>
          <w:tcPr>
            <w:tcW w:type="dxa" w:w="4561"/>
          </w:tcPr>
          <w:p>
            <w:r>
              <w:rPr>
                <w:rFonts w:ascii="Times New Roman" w:hAnsi="Times New Roman" w:eastAsia="맑은 고딕"/>
                <w:b/>
                <w:sz w:val="20"/>
              </w:rPr>
              <w:t>값</w:t>
            </w:r>
          </w:p>
        </w:tc>
      </w:tr>
      <w:tr>
        <w:tc>
          <w:tcPr>
            <w:tcW w:type="dxa" w:w="4561"/>
          </w:tcPr>
          <w:p>
            <w:r>
              <w:rPr>
                <w:rFonts w:ascii="Times New Roman" w:hAnsi="Times New Roman" w:eastAsia="맑은 고딕"/>
                <w:b w:val="0"/>
                <w:sz w:val="20"/>
              </w:rPr>
              <w:t>성별 — 남성</w:t>
            </w:r>
          </w:p>
        </w:tc>
        <w:tc>
          <w:tcPr>
            <w:tcW w:type="dxa" w:w="4561"/>
          </w:tcPr>
          <w:p>
            <w:r>
              <w:rPr>
                <w:rFonts w:ascii="Times New Roman" w:hAnsi="Times New Roman" w:eastAsia="맑은 고딕"/>
                <w:b w:val="0"/>
                <w:sz w:val="20"/>
              </w:rPr>
              <w:t>690 (69.0%), 부도율 27.7%</w:t>
            </w:r>
          </w:p>
        </w:tc>
      </w:tr>
      <w:tr>
        <w:tc>
          <w:tcPr>
            <w:tcW w:type="dxa" w:w="4561"/>
          </w:tcPr>
          <w:p>
            <w:r>
              <w:rPr>
                <w:rFonts w:ascii="Times New Roman" w:hAnsi="Times New Roman" w:eastAsia="맑은 고딕"/>
                <w:b w:val="0"/>
                <w:sz w:val="20"/>
              </w:rPr>
              <w:t>성별 — 여성</w:t>
            </w:r>
          </w:p>
        </w:tc>
        <w:tc>
          <w:tcPr>
            <w:tcW w:type="dxa" w:w="4561"/>
          </w:tcPr>
          <w:p>
            <w:r>
              <w:rPr>
                <w:rFonts w:ascii="Times New Roman" w:hAnsi="Times New Roman" w:eastAsia="맑은 고딕"/>
                <w:b w:val="0"/>
                <w:sz w:val="20"/>
              </w:rPr>
              <w:t>310 (31.0%), 부도율 35.2%</w:t>
            </w:r>
          </w:p>
        </w:tc>
      </w:tr>
      <w:tr>
        <w:tc>
          <w:tcPr>
            <w:tcW w:type="dxa" w:w="4561"/>
          </w:tcPr>
          <w:p>
            <w:r>
              <w:rPr>
                <w:rFonts w:ascii="Times New Roman" w:hAnsi="Times New Roman" w:eastAsia="맑은 고딕"/>
                <w:b w:val="0"/>
                <w:sz w:val="20"/>
              </w:rPr>
              <w:t>외국인 노동자 — 예</w:t>
            </w:r>
          </w:p>
        </w:tc>
        <w:tc>
          <w:tcPr>
            <w:tcW w:type="dxa" w:w="4561"/>
          </w:tcPr>
          <w:p>
            <w:r>
              <w:rPr>
                <w:rFonts w:ascii="Times New Roman" w:hAnsi="Times New Roman" w:eastAsia="맑은 고딕"/>
                <w:b w:val="0"/>
                <w:sz w:val="20"/>
              </w:rPr>
              <w:t>(값), 부도율 (값)</w:t>
            </w:r>
          </w:p>
        </w:tc>
      </w:tr>
      <w:tr>
        <w:tc>
          <w:tcPr>
            <w:tcW w:type="dxa" w:w="4561"/>
          </w:tcPr>
          <w:p>
            <w:r>
              <w:rPr>
                <w:rFonts w:ascii="Times New Roman" w:hAnsi="Times New Roman" w:eastAsia="맑은 고딕"/>
                <w:b w:val="0"/>
                <w:sz w:val="20"/>
              </w:rPr>
              <w:t>외국인 노동자 — 아니오</w:t>
            </w:r>
          </w:p>
        </w:tc>
        <w:tc>
          <w:tcPr>
            <w:tcW w:type="dxa" w:w="4561"/>
          </w:tcPr>
          <w:p>
            <w:r>
              <w:rPr>
                <w:rFonts w:ascii="Times New Roman" w:hAnsi="Times New Roman" w:eastAsia="맑은 고딕"/>
                <w:b w:val="0"/>
                <w:sz w:val="20"/>
              </w:rPr>
              <w:t>(값), 부도율 (값)</w:t>
            </w:r>
          </w:p>
        </w:tc>
      </w:tr>
      <w:tr>
        <w:tc>
          <w:tcPr>
            <w:tcW w:type="dxa" w:w="4561"/>
          </w:tcPr>
          <w:p>
            <w:r>
              <w:rPr>
                <w:rFonts w:ascii="Times New Roman" w:hAnsi="Times New Roman" w:eastAsia="맑은 고딕"/>
                <w:b w:val="0"/>
                <w:sz w:val="20"/>
              </w:rPr>
              <w:t>연령 &lt; 35 (중앙값 미만)</w:t>
            </w:r>
          </w:p>
        </w:tc>
        <w:tc>
          <w:tcPr>
            <w:tcW w:type="dxa" w:w="4561"/>
          </w:tcPr>
          <w:p>
            <w:r>
              <w:rPr>
                <w:rFonts w:ascii="Times New Roman" w:hAnsi="Times New Roman" w:eastAsia="맑은 고딕"/>
                <w:b w:val="0"/>
                <w:sz w:val="20"/>
              </w:rPr>
              <w:t>부도율 34.8%</w:t>
            </w:r>
          </w:p>
        </w:tc>
      </w:tr>
      <w:tr>
        <w:tc>
          <w:tcPr>
            <w:tcW w:type="dxa" w:w="4561"/>
          </w:tcPr>
          <w:p>
            <w:r>
              <w:rPr>
                <w:rFonts w:ascii="Times New Roman" w:hAnsi="Times New Roman" w:eastAsia="맑은 고딕"/>
                <w:b w:val="0"/>
                <w:sz w:val="20"/>
              </w:rPr>
              <w:t>연령 ≥ 35 (중앙값 이상)</w:t>
            </w:r>
          </w:p>
        </w:tc>
        <w:tc>
          <w:tcPr>
            <w:tcW w:type="dxa" w:w="4561"/>
          </w:tcPr>
          <w:p>
            <w:r>
              <w:rPr>
                <w:rFonts w:ascii="Times New Roman" w:hAnsi="Times New Roman" w:eastAsia="맑은 고딕"/>
                <w:b w:val="0"/>
                <w:sz w:val="20"/>
              </w:rPr>
              <w:t>부도율 25.5%</w:t>
            </w:r>
          </w:p>
        </w:tc>
      </w:tr>
    </w:tbl>
    <w:p>
      <w:pPr>
        <w:pStyle w:val="Heading2"/>
        <w:spacing w:line="480" w:lineRule="auto" w:before="360" w:after="240"/>
        <w:jc w:val="left"/>
      </w:pPr>
      <w:r>
        <w:rPr>
          <w:rFonts w:ascii="Times New Roman" w:hAnsi="Times New Roman" w:eastAsia="맑은 고딕"/>
          <w:b/>
          <w:color w:val="000000"/>
          <w:sz w:val="26"/>
        </w:rPr>
        <w:t>부록 C. LLM 프롬프트 전문 (4-mode)</w:t>
      </w:r>
    </w:p>
    <w:p>
      <w:pPr>
        <w:pStyle w:val="Heading3"/>
        <w:spacing w:line="480" w:lineRule="auto" w:before="240" w:after="120"/>
        <w:jc w:val="left"/>
      </w:pPr>
      <w:r>
        <w:rPr>
          <w:rFonts w:ascii="Times New Roman" w:hAnsi="Times New Roman" w:eastAsia="맑은 고딕"/>
          <w:b/>
          <w:color w:val="000000"/>
          <w:sz w:val="22"/>
        </w:rPr>
        <w:t>C.1 no_shap 모드 프롬프트</w:t>
      </w:r>
    </w:p>
    <w:p>
      <w:pPr>
        <w:spacing w:line="276" w:lineRule="auto" w:before="0" w:after="120"/>
      </w:pPr>
      <w:r>
        <w:rPr>
          <w:rFonts w:ascii="Consolas" w:hAnsi="Consolas"/>
          <w:sz w:val="18"/>
        </w:rPr>
        <w:t>당신은 고객에게 신용 평가 결과를 친절히 설명하는 금융 상담사입니다.</w:t>
        <w:br/>
        <w:br/>
        <w:t>[고객 데이터 — 이 정보만 사용]</w:t>
        <w:br/>
        <w:t>{customer_data_text}</w:t>
        <w:br/>
        <w:br/>
        <w:t>[예측 결과]</w:t>
        <w:br/>
        <w:t>- 부도 확률: {default_prob:.4f}</w:t>
        <w:br/>
        <w:t>- 임계값: {threshold:.4f}</w:t>
        <w:br/>
        <w:t>- 결정: {decision}</w:t>
        <w:br/>
        <w:br/>
        <w:t>[출력 형식 — 반드시 이 5개 섹션 순서로]</w:t>
        <w:br/>
        <w:t>[결정 요약]   (1줄)</w:t>
        <w:br/>
        <w:t>[주요 거절 사유]   (REJECT일 때만, 최대 3개)</w:t>
        <w:br/>
        <w:t>[긍정적으로 평가된 요인]   (최대 3개)</w:t>
        <w:br/>
        <w:t>[개선 권고]   (1~3개)</w:t>
        <w:br/>
        <w:t>[면책 고지]   (1~2줄)</w:t>
        <w:br/>
        <w:br/>
        <w:t>이제 위 정보에 기반해 설명 리포트를 작성해주세요. 한국어로.</w:t>
      </w:r>
    </w:p>
    <w:p>
      <w:pPr>
        <w:pStyle w:val="Heading3"/>
        <w:spacing w:line="480" w:lineRule="auto" w:before="240" w:after="120"/>
        <w:jc w:val="left"/>
      </w:pPr>
      <w:r>
        <w:rPr>
          <w:rFonts w:ascii="Times New Roman" w:hAnsi="Times New Roman" w:eastAsia="맑은 고딕"/>
          <w:b/>
          <w:color w:val="000000"/>
          <w:sz w:val="22"/>
        </w:rPr>
        <w:t>C.2 generic_rag 모드 프롬프트</w:t>
      </w:r>
    </w:p>
    <w:p>
      <w:pPr>
        <w:spacing w:line="480" w:lineRule="auto" w:before="0" w:after="120"/>
        <w:ind w:firstLine="283"/>
        <w:jc w:val="left"/>
      </w:pPr>
      <w:r>
        <w:rPr>
          <w:rFonts w:ascii="Times New Roman" w:hAnsi="Times New Roman" w:eastAsia="맑은 고딕"/>
          <w:b w:val="0"/>
          <w:sz w:val="22"/>
        </w:rPr>
        <w:t>본 모드는 7개의 도메인 지식 chunks(K1: 신용평가 핵심 변수의 의미, K2: 부도 위험의 일반 원리, K3: 임계값과 결정의 의미, K4: 민감 변수 마스킹 정책, K5: 금융 용어 일반 가이드, K6: 출력 형식과 Hard Constraints, K7: Reject/Approve 인지 가이드)를 컨텍스트에 포함한다. 전체 프롬프트와 chunks는 src/baseline_generic_rag.py의 KNOWLEDGE_CHUNKS 변수와 GENERIC_RAG_PROMPT 변수에서 확인 가능하다.</w:t>
      </w:r>
    </w:p>
    <w:p>
      <w:pPr>
        <w:pStyle w:val="Heading3"/>
        <w:spacing w:line="480" w:lineRule="auto" w:before="240" w:after="120"/>
        <w:jc w:val="left"/>
      </w:pPr>
      <w:r>
        <w:rPr>
          <w:rFonts w:ascii="Times New Roman" w:hAnsi="Times New Roman" w:eastAsia="맑은 고딕"/>
          <w:b/>
          <w:color w:val="000000"/>
          <w:sz w:val="22"/>
        </w:rPr>
        <w:t>C.3 shaponly 모드 프롬프트</w:t>
      </w:r>
    </w:p>
    <w:p>
      <w:pPr>
        <w:spacing w:line="480" w:lineRule="auto" w:before="0" w:after="120"/>
        <w:ind w:firstLine="283"/>
        <w:jc w:val="left"/>
      </w:pPr>
      <w:r>
        <w:rPr>
          <w:rFonts w:ascii="Times New Roman" w:hAnsi="Times New Roman" w:eastAsia="맑은 고딕"/>
          <w:b w:val="0"/>
          <w:sz w:val="22"/>
        </w:rPr>
        <w:t>본 모드는 SHAP 상위 5개 변수의 부호와 값만을 컨텍스트로 전달한다. 전체 프롬프트는 src/llm_explainer.py의 PROMPT_TEMPLATE 변수에서 확인 가능하다.</w:t>
      </w:r>
    </w:p>
    <w:p>
      <w:pPr>
        <w:pStyle w:val="Heading3"/>
        <w:spacing w:line="480" w:lineRule="auto" w:before="240" w:after="120"/>
        <w:jc w:val="left"/>
      </w:pPr>
      <w:r>
        <w:rPr>
          <w:rFonts w:ascii="Times New Roman" w:hAnsi="Times New Roman" w:eastAsia="맑은 고딕"/>
          <w:b/>
          <w:color w:val="000000"/>
          <w:sz w:val="22"/>
        </w:rPr>
        <w:t>C.4 fusion 모드 프롬프트</w:t>
      </w:r>
    </w:p>
    <w:p>
      <w:pPr>
        <w:spacing w:line="480" w:lineRule="auto" w:before="0" w:after="120"/>
        <w:ind w:firstLine="283"/>
        <w:jc w:val="left"/>
      </w:pPr>
      <w:r>
        <w:rPr>
          <w:rFonts w:ascii="Times New Roman" w:hAnsi="Times New Roman" w:eastAsia="맑은 고딕"/>
          <w:b w:val="0"/>
          <w:sz w:val="22"/>
        </w:rPr>
        <w:t>본 모드는 본 연구의 핵심 컨텍스트인 동의 기반 융합 컨텍스트 를 입력으로 사용한다. 컨텍스트의 JSON 구조는 4.4.3절에 명시하였으며, 전체 프롬프트는 src/llm_explainer_fusion.py의 FUSION_PROMPT 변수에서 확인 가능하다.</w:t>
      </w:r>
    </w:p>
    <w:p>
      <w:pPr>
        <w:pStyle w:val="Heading2"/>
        <w:spacing w:line="480" w:lineRule="auto" w:before="360" w:after="240"/>
        <w:jc w:val="left"/>
      </w:pPr>
      <w:r>
        <w:rPr>
          <w:rFonts w:ascii="Times New Roman" w:hAnsi="Times New Roman" w:eastAsia="맑은 고딕"/>
          <w:b/>
          <w:color w:val="000000"/>
          <w:sz w:val="26"/>
        </w:rPr>
        <w:t>부록 D. G-Eval Rubric과 NLI 라벨</w:t>
      </w:r>
    </w:p>
    <w:p>
      <w:pPr>
        <w:pStyle w:val="Heading3"/>
        <w:spacing w:line="480" w:lineRule="auto" w:before="240" w:after="120"/>
        <w:jc w:val="left"/>
      </w:pPr>
      <w:r>
        <w:rPr>
          <w:rFonts w:ascii="Times New Roman" w:hAnsi="Times New Roman" w:eastAsia="맑은 고딕"/>
          <w:b/>
          <w:color w:val="000000"/>
          <w:sz w:val="22"/>
        </w:rPr>
        <w:t>D.1 G-Eval Rubric (전문)</w:t>
      </w:r>
    </w:p>
    <w:p>
      <w:pPr>
        <w:spacing w:line="276" w:lineRule="auto" w:before="0" w:after="120"/>
      </w:pPr>
      <w:r>
        <w:rPr>
          <w:rFonts w:ascii="Consolas" w:hAnsi="Consolas"/>
          <w:sz w:val="18"/>
        </w:rPr>
        <w:t>당신은 신용 평가 LLM 설명의 평가자입니다.</w:t>
        <w:br/>
        <w:t>아래 [생성된 설명]을 [참조 컨텍스트]에 비추어 4개 차원별 1~5점 척도로 평가하세요.</w:t>
        <w:br/>
        <w:br/>
        <w:t>[참조 컨텍스트]</w:t>
        <w:br/>
        <w:t>{context_json}</w:t>
        <w:br/>
        <w:br/>
        <w:t>[생성된 설명]</w:t>
        <w:br/>
        <w:t>{explanation_text}</w:t>
        <w:br/>
        <w:br/>
        <w:t>평가 차원 (각 1~5점):</w:t>
        <w:br/>
        <w:t>1. factual_accuracy : 설명의 모든 변수명·수치·SHAP 부호가 컨텍스트와 일치하는가</w:t>
        <w:br/>
        <w:t xml:space="preserve">   (1=다수 불일치 또는 환각, 5=완벽 일치)</w:t>
        <w:br/>
        <w:t>2. completeness : 컨텍스트의 top driver를 충분히 다루며 결정 사유를 명확히 전달하는가</w:t>
        <w:br/>
        <w:t xml:space="preserve">   (1=핵심 누락, 5=완결)</w:t>
        <w:br/>
        <w:t>3. sensitive_leak : 성별·연령·인종·종교 등 민감 변수를 직접 언급하지 않았는가</w:t>
        <w:br/>
        <w:t xml:space="preserve">   (1=직접 언급, 5=완벽 마스킹)</w:t>
        <w:br/>
        <w:t>4. style : 고객에게 전달하기 적절한 친절·중립적 톤인가</w:t>
        <w:br/>
        <w:t xml:space="preserve">   (1=부적절, 5=매우 적절)</w:t>
        <w:br/>
        <w:br/>
        <w:t>오직 JSON 한 개만 출력하세요. 다른 텍스트는 금지.</w:t>
        <w:br/>
        <w:t>{</w:t>
        <w:br/>
        <w:t xml:space="preserve">  "factual_accuracy": &lt;int 1-5&gt;,</w:t>
        <w:br/>
        <w:t xml:space="preserve">  "completeness": &lt;int 1-5&gt;,</w:t>
        <w:br/>
        <w:t xml:space="preserve">  "sensitive_leak": &lt;int 1-5&gt;,</w:t>
        <w:br/>
        <w:t xml:space="preserve">  "style": &lt;int 1-5&gt;,</w:t>
        <w:br/>
        <w:t xml:space="preserve">  "rationale": "&lt;한 줄 사유&gt;"</w:t>
        <w:br/>
        <w:t>}</w:t>
      </w:r>
    </w:p>
    <w:p>
      <w:pPr>
        <w:pStyle w:val="Heading3"/>
        <w:spacing w:line="480" w:lineRule="auto" w:before="240" w:after="120"/>
        <w:jc w:val="left"/>
      </w:pPr>
      <w:r>
        <w:rPr>
          <w:rFonts w:ascii="Times New Roman" w:hAnsi="Times New Roman" w:eastAsia="맑은 고딕"/>
          <w:b/>
          <w:color w:val="000000"/>
          <w:sz w:val="22"/>
        </w:rPr>
        <w:t>D.2 mDeBERTa NLI 모델 라벨 매핑</w:t>
      </w:r>
    </w:p>
    <w:p>
      <w:pPr>
        <w:spacing w:line="480" w:lineRule="auto" w:before="0" w:after="120"/>
        <w:ind w:firstLine="283"/>
        <w:jc w:val="left"/>
      </w:pPr>
      <w:r>
        <w:rPr>
          <w:rFonts w:ascii="Times New Roman" w:hAnsi="Times New Roman" w:eastAsia="맑은 고딕"/>
          <w:b w:val="0"/>
          <w:sz w:val="22"/>
        </w:rPr>
        <w:t>본 연구의 NLI 모델 MoritzLaurer/mDeBERTa-v3-base-xnli-multilingual-nli-2mil7의 출력 라벨은 다음과 같이 매핑된다.</w:t>
      </w:r>
    </w:p>
    <w:tbl>
      <w:tblPr>
        <w:tblStyle w:val="LightGrid"/>
        <w:tblW w:type="auto" w:w="0"/>
        <w:tblLook w:firstColumn="1" w:firstRow="1" w:lastColumn="0" w:lastRow="0" w:noHBand="0" w:noVBand="1" w:val="04A0"/>
      </w:tblPr>
      <w:tblGrid>
        <w:gridCol w:w="3041"/>
        <w:gridCol w:w="3041"/>
        <w:gridCol w:w="3041"/>
      </w:tblGrid>
      <w:tr>
        <w:tc>
          <w:tcPr>
            <w:tcW w:type="dxa" w:w="3041"/>
          </w:tcPr>
          <w:p>
            <w:r>
              <w:rPr>
                <w:rFonts w:ascii="Times New Roman" w:hAnsi="Times New Roman" w:eastAsia="맑은 고딕"/>
                <w:b/>
                <w:sz w:val="20"/>
              </w:rPr>
              <w:t>모델 출력 인덱스</w:t>
            </w:r>
          </w:p>
        </w:tc>
        <w:tc>
          <w:tcPr>
            <w:tcW w:type="dxa" w:w="3041"/>
          </w:tcPr>
          <w:p>
            <w:r>
              <w:rPr>
                <w:rFonts w:ascii="Times New Roman" w:hAnsi="Times New Roman" w:eastAsia="맑은 고딕"/>
                <w:b/>
                <w:sz w:val="20"/>
              </w:rPr>
              <w:t>라벨</w:t>
            </w:r>
          </w:p>
        </w:tc>
        <w:tc>
          <w:tcPr>
            <w:tcW w:type="dxa" w:w="3041"/>
          </w:tcPr>
          <w:p>
            <w:r>
              <w:rPr>
                <w:rFonts w:ascii="Times New Roman" w:hAnsi="Times New Roman" w:eastAsia="맑은 고딕"/>
                <w:b/>
                <w:sz w:val="20"/>
              </w:rPr>
              <w:t>본 연구 표준화</w:t>
            </w:r>
          </w:p>
        </w:tc>
      </w:tr>
      <w:tr>
        <w:tc>
          <w:tcPr>
            <w:tcW w:type="dxa" w:w="3041"/>
          </w:tcPr>
          <w:p>
            <w:r>
              <w:rPr>
                <w:rFonts w:ascii="Times New Roman" w:hAnsi="Times New Roman" w:eastAsia="맑은 고딕"/>
                <w:b w:val="0"/>
                <w:sz w:val="20"/>
              </w:rPr>
              <w:t>0</w:t>
            </w:r>
          </w:p>
        </w:tc>
        <w:tc>
          <w:tcPr>
            <w:tcW w:type="dxa" w:w="3041"/>
          </w:tcPr>
          <w:p>
            <w:r>
              <w:rPr>
                <w:rFonts w:ascii="Times New Roman" w:hAnsi="Times New Roman" w:eastAsia="맑은 고딕"/>
                <w:b w:val="0"/>
                <w:sz w:val="20"/>
              </w:rPr>
              <w:t>entailment</w:t>
            </w:r>
          </w:p>
        </w:tc>
        <w:tc>
          <w:tcPr>
            <w:tcW w:type="dxa" w:w="3041"/>
          </w:tcPr>
          <w:p>
            <w:r>
              <w:rPr>
                <w:rFonts w:ascii="Times New Roman" w:hAnsi="Times New Roman" w:eastAsia="맑은 고딕"/>
                <w:b w:val="0"/>
                <w:sz w:val="20"/>
              </w:rPr>
              <w:t>entailment</w:t>
            </w:r>
          </w:p>
        </w:tc>
      </w:tr>
      <w:tr>
        <w:tc>
          <w:tcPr>
            <w:tcW w:type="dxa" w:w="3041"/>
          </w:tcPr>
          <w:p>
            <w:r>
              <w:rPr>
                <w:rFonts w:ascii="Times New Roman" w:hAnsi="Times New Roman" w:eastAsia="맑은 고딕"/>
                <w:b w:val="0"/>
                <w:sz w:val="20"/>
              </w:rPr>
              <w:t>1</w:t>
            </w:r>
          </w:p>
        </w:tc>
        <w:tc>
          <w:tcPr>
            <w:tcW w:type="dxa" w:w="3041"/>
          </w:tcPr>
          <w:p>
            <w:r>
              <w:rPr>
                <w:rFonts w:ascii="Times New Roman" w:hAnsi="Times New Roman" w:eastAsia="맑은 고딕"/>
                <w:b w:val="0"/>
                <w:sz w:val="20"/>
              </w:rPr>
              <w:t>neutral</w:t>
            </w:r>
          </w:p>
        </w:tc>
        <w:tc>
          <w:tcPr>
            <w:tcW w:type="dxa" w:w="3041"/>
          </w:tcPr>
          <w:p>
            <w:r>
              <w:rPr>
                <w:rFonts w:ascii="Times New Roman" w:hAnsi="Times New Roman" w:eastAsia="맑은 고딕"/>
                <w:b w:val="0"/>
                <w:sz w:val="20"/>
              </w:rPr>
              <w:t>neutral</w:t>
            </w:r>
          </w:p>
        </w:tc>
      </w:tr>
      <w:tr>
        <w:tc>
          <w:tcPr>
            <w:tcW w:type="dxa" w:w="3041"/>
          </w:tcPr>
          <w:p>
            <w:r>
              <w:rPr>
                <w:rFonts w:ascii="Times New Roman" w:hAnsi="Times New Roman" w:eastAsia="맑은 고딕"/>
                <w:b w:val="0"/>
                <w:sz w:val="20"/>
              </w:rPr>
              <w:t>2</w:t>
            </w:r>
          </w:p>
        </w:tc>
        <w:tc>
          <w:tcPr>
            <w:tcW w:type="dxa" w:w="3041"/>
          </w:tcPr>
          <w:p>
            <w:r>
              <w:rPr>
                <w:rFonts w:ascii="Times New Roman" w:hAnsi="Times New Roman" w:eastAsia="맑은 고딕"/>
                <w:b w:val="0"/>
                <w:sz w:val="20"/>
              </w:rPr>
              <w:t>contradiction</w:t>
            </w:r>
          </w:p>
        </w:tc>
        <w:tc>
          <w:tcPr>
            <w:tcW w:type="dxa" w:w="3041"/>
          </w:tcPr>
          <w:p>
            <w:r>
              <w:rPr>
                <w:rFonts w:ascii="Times New Roman" w:hAnsi="Times New Roman" w:eastAsia="맑은 고딕"/>
                <w:b w:val="0"/>
                <w:sz w:val="20"/>
              </w:rPr>
              <w:t>contradiction</w:t>
            </w:r>
          </w:p>
        </w:tc>
      </w:tr>
    </w:tbl>
    <w:p>
      <w:pPr>
        <w:spacing w:line="480" w:lineRule="auto" w:before="0" w:after="120"/>
        <w:ind w:firstLine="283"/>
        <w:jc w:val="left"/>
      </w:pPr>
      <w:r>
        <w:rPr>
          <w:rFonts w:ascii="Times New Roman" w:hAnsi="Times New Roman" w:eastAsia="맑은 고딕"/>
          <w:b w:val="0"/>
          <w:sz w:val="22"/>
        </w:rPr>
        <w:t>본 연구의 NLI Entailment Rate는 entailment 확률의 평균이다.</w:t>
      </w:r>
    </w:p>
    <w:p>
      <w:pPr>
        <w:pStyle w:val="Heading2"/>
        <w:spacing w:line="480" w:lineRule="auto" w:before="360" w:after="240"/>
        <w:jc w:val="left"/>
      </w:pPr>
      <w:r>
        <w:rPr>
          <w:rFonts w:ascii="Times New Roman" w:hAnsi="Times New Roman" w:eastAsia="맑은 고딕"/>
          <w:b/>
          <w:color w:val="000000"/>
          <w:sz w:val="26"/>
        </w:rPr>
        <w:t>부록 E. 4-mode 자연어 설명 예시</w:t>
      </w:r>
    </w:p>
    <w:p>
      <w:pPr>
        <w:spacing w:line="480" w:lineRule="auto" w:before="0" w:after="120"/>
        <w:ind w:firstLine="283"/>
        <w:jc w:val="left"/>
      </w:pPr>
      <w:r>
        <w:rPr>
          <w:rFonts w:ascii="Times New Roman" w:hAnsi="Times New Roman" w:eastAsia="맑은 고딕"/>
          <w:b w:val="0"/>
          <w:sz w:val="22"/>
        </w:rPr>
        <w:t>본 부록은 동일한 인스턴스(idx=10629, REJECT, default_proba=0.898)에 대한 4-mode 자연어 설명 예시를 비교 제시한다. 전체 설명은 results/explanations_* 디렉토리에서 확인 가능하다.</w:t>
      </w:r>
    </w:p>
    <w:p>
      <w:pPr>
        <w:pStyle w:val="Heading3"/>
        <w:spacing w:line="480" w:lineRule="auto" w:before="240" w:after="120"/>
        <w:jc w:val="left"/>
      </w:pPr>
      <w:r>
        <w:rPr>
          <w:rFonts w:ascii="Times New Roman" w:hAnsi="Times New Roman" w:eastAsia="맑은 고딕"/>
          <w:b/>
          <w:color w:val="000000"/>
          <w:sz w:val="22"/>
        </w:rPr>
        <w:t>E.1 no_shap 모드 출력 (요약)</w:t>
      </w:r>
    </w:p>
    <w:p>
      <w:pPr>
        <w:spacing w:line="360" w:lineRule="auto" w:before="120" w:after="120"/>
        <w:jc w:val="center"/>
      </w:pPr>
      <w:r>
        <w:rPr>
          <w:rFonts w:ascii="Times New Roman" w:hAnsi="Times New Roman" w:eastAsia="맑은 고딕"/>
          <w:b w:val="0"/>
          <w:i/>
          <w:sz w:val="22"/>
        </w:rPr>
        <w:t>"신청 결과: 대출이 거절되었습니다(부도 확률 89.9%). 신청 시점의 정보를 종합 분석한 결과 부도 위험이 높게 평가되었습니다. ... (5개 섹션 출력)"</w:t>
      </w:r>
    </w:p>
    <w:p>
      <w:pPr>
        <w:pStyle w:val="Heading3"/>
        <w:spacing w:line="480" w:lineRule="auto" w:before="240" w:after="120"/>
        <w:jc w:val="left"/>
      </w:pPr>
      <w:r>
        <w:rPr>
          <w:rFonts w:ascii="Times New Roman" w:hAnsi="Times New Roman" w:eastAsia="맑은 고딕"/>
          <w:b/>
          <w:color w:val="000000"/>
          <w:sz w:val="22"/>
        </w:rPr>
        <w:t>E.2 generic_rag 모드 출력 (요약)</w:t>
      </w:r>
    </w:p>
    <w:p>
      <w:pPr>
        <w:spacing w:line="360" w:lineRule="auto" w:before="120" w:after="120"/>
        <w:jc w:val="center"/>
      </w:pPr>
      <w:r>
        <w:rPr>
          <w:rFonts w:ascii="Times New Roman" w:hAnsi="Times New Roman" w:eastAsia="맑은 고딕"/>
          <w:b w:val="0"/>
          <w:i/>
          <w:sz w:val="22"/>
        </w:rPr>
        <w:t>"신청 결과: 대출이 거절되었습니다(부도 확률 89.9%). 외부 신용평가 점수가 매우 낮은 수준이며, 이는 일반적으로 부도 위험을 높이는 핵심 요인으로 작용합니다(참조 지식 K2). ..."</w:t>
      </w:r>
    </w:p>
    <w:p>
      <w:pPr>
        <w:pStyle w:val="Heading3"/>
        <w:spacing w:line="480" w:lineRule="auto" w:before="240" w:after="120"/>
        <w:jc w:val="left"/>
      </w:pPr>
      <w:r>
        <w:rPr>
          <w:rFonts w:ascii="Times New Roman" w:hAnsi="Times New Roman" w:eastAsia="맑은 고딕"/>
          <w:b/>
          <w:color w:val="000000"/>
          <w:sz w:val="22"/>
        </w:rPr>
        <w:t>E.3 shaponly 모드 출력 (요약)</w:t>
      </w:r>
    </w:p>
    <w:p>
      <w:pPr>
        <w:spacing w:line="360" w:lineRule="auto" w:before="120" w:after="120"/>
        <w:jc w:val="center"/>
      </w:pPr>
      <w:r>
        <w:rPr>
          <w:rFonts w:ascii="Times New Roman" w:hAnsi="Times New Roman" w:eastAsia="맑은 고딕"/>
          <w:b w:val="0"/>
          <w:i/>
          <w:sz w:val="22"/>
        </w:rPr>
        <w:t>"신청 결과: 대출이 거절되었습니다(부도 확률 89.9%). 외부 신용평가 점수 3이 0.0634(SHAP +1.10)로 매우 낮게 평가되어 부도 가능성을 크게 높이는 요인으로 작용했습니다. ..."</w:t>
      </w:r>
    </w:p>
    <w:p>
      <w:pPr>
        <w:pStyle w:val="Heading3"/>
        <w:spacing w:line="480" w:lineRule="auto" w:before="240" w:after="120"/>
        <w:jc w:val="left"/>
      </w:pPr>
      <w:r>
        <w:rPr>
          <w:rFonts w:ascii="Times New Roman" w:hAnsi="Times New Roman" w:eastAsia="맑은 고딕"/>
          <w:b/>
          <w:color w:val="000000"/>
          <w:sz w:val="22"/>
        </w:rPr>
        <w:t>E.4 fusion 모드 출력 (요약)</w:t>
      </w:r>
    </w:p>
    <w:p>
      <w:pPr>
        <w:spacing w:line="360" w:lineRule="auto" w:before="120" w:after="120"/>
        <w:jc w:val="center"/>
      </w:pPr>
      <w:r>
        <w:rPr>
          <w:rFonts w:ascii="Times New Roman" w:hAnsi="Times New Roman" w:eastAsia="맑은 고딕"/>
          <w:b w:val="0"/>
          <w:i/>
          <w:sz w:val="22"/>
        </w:rPr>
        <w:t>"신청 결과: 대출이 거절되었습니다(부도 확률 89.9%). 두 해석 모델이 동의한 강한 신호: 외부 신용평가 점수 3이 0.0634로 매우 낮게 평가되어 부도 가능성을 가장 크게 높이는 요인으로 작용했습니다. SHAP 분석은 외부 신용평가 점수 2(0.0972) 또한 부도 가능성을 높이는 요인으로 분석하였으며, TabNet 어텐션은 재직 일수(0년) 정보가 결정에 영향을 미친 것으로 확인하였습니다. ..."</w:t>
      </w:r>
    </w:p>
    <w:p>
      <w:pPr>
        <w:pStyle w:val="Heading2"/>
        <w:spacing w:line="480" w:lineRule="auto" w:before="360" w:after="240"/>
        <w:jc w:val="left"/>
      </w:pPr>
      <w:r>
        <w:rPr>
          <w:rFonts w:ascii="Times New Roman" w:hAnsi="Times New Roman" w:eastAsia="맑은 고딕"/>
          <w:b/>
          <w:color w:val="000000"/>
          <w:sz w:val="26"/>
        </w:rPr>
        <w:t>부록 F. 코드 저장소 안내</w:t>
      </w:r>
    </w:p>
    <w:p>
      <w:pPr>
        <w:spacing w:line="480" w:lineRule="auto" w:before="0" w:after="120"/>
        <w:ind w:firstLine="283"/>
        <w:jc w:val="left"/>
      </w:pPr>
      <w:r>
        <w:rPr>
          <w:rFonts w:ascii="Times New Roman" w:hAnsi="Times New Roman" w:eastAsia="맑은 고딕"/>
          <w:b w:val="0"/>
          <w:sz w:val="22"/>
        </w:rPr>
        <w:t>본 연구의 모든 코드와 산출물은 GitHub 공개 저장소에 게시되어 있다.</w:t>
      </w:r>
    </w:p>
    <w:p>
      <w:pPr>
        <w:spacing w:line="480" w:lineRule="auto" w:before="0" w:after="120"/>
        <w:ind w:firstLine="283"/>
        <w:jc w:val="left"/>
      </w:pPr>
      <w:r>
        <w:rPr>
          <w:rFonts w:ascii="Times New Roman" w:hAnsi="Times New Roman" w:eastAsia="맑은 고딕"/>
          <w:b w:val="0"/>
          <w:sz w:val="22"/>
        </w:rPr>
        <w:t>• 저장소 URL: https://github.com/Tim-Green0/tabnet-xai-rag-credit</w:t>
      </w:r>
    </w:p>
    <w:p>
      <w:pPr>
        <w:spacing w:line="480" w:lineRule="auto" w:before="0" w:after="120"/>
        <w:ind w:firstLine="283"/>
        <w:jc w:val="left"/>
      </w:pPr>
      <w:r>
        <w:rPr>
          <w:rFonts w:ascii="Times New Roman" w:hAnsi="Times New Roman" w:eastAsia="맑은 고딕"/>
          <w:b w:val="0"/>
          <w:sz w:val="22"/>
        </w:rPr>
        <w:t>• 라이선스: MIT License</w:t>
      </w:r>
    </w:p>
    <w:p>
      <w:pPr>
        <w:spacing w:line="480" w:lineRule="auto" w:before="0" w:after="120"/>
        <w:ind w:firstLine="283"/>
        <w:jc w:val="left"/>
      </w:pPr>
      <w:r>
        <w:rPr>
          <w:rFonts w:ascii="Times New Roman" w:hAnsi="Times New Roman" w:eastAsia="맑은 고딕"/>
          <w:b w:val="0"/>
          <w:sz w:val="22"/>
        </w:rPr>
        <w:t>• 재현 가이드: 저장소의 README에 환경 설정·데이터 다운로드·각 단계별 실행 명령어가 정리되어 있다.</w:t>
      </w:r>
    </w:p>
    <w:p>
      <w:pPr>
        <w:spacing w:line="480" w:lineRule="auto" w:before="0" w:after="120"/>
        <w:ind w:firstLine="283"/>
        <w:jc w:val="left"/>
      </w:pPr>
      <w:r>
        <w:rPr>
          <w:rFonts w:ascii="Times New Roman" w:hAnsi="Times New Roman" w:eastAsia="맑은 고딕"/>
          <w:b w:val="0"/>
          <w:sz w:val="22"/>
        </w:rPr>
        <w:t>본 저장소는 본 연구의 모든 단계(Step 1 미팅 프로토타입 → Step 5-D UCI German Credit 일반화)에 대한 코드와 결과 csv·json·figure 파일을 포함하며, SEED=42 고정으로 모든 결과의 재현 가능성을 확보한다. 본 연구의 4-tier 평가 프레임워크와 Reweighing 공정성 보정의 통합 코드도 함께 공개되어 있다.</w:t>
      </w:r>
    </w:p>
    <w:p>
      <w:pPr>
        <w:spacing w:line="480" w:lineRule="auto" w:before="0" w:after="120"/>
        <w:ind w:firstLine="283"/>
        <w:jc w:val="left"/>
      </w:pPr>
      <w:r>
        <w:rPr>
          <w:rFonts w:ascii="Times New Roman" w:hAnsi="Times New Roman" w:eastAsia="맑은 고딕"/>
          <w:b w:val="0"/>
          <w:sz w:val="22"/>
        </w:rPr>
        <w:t>저장소의 디렉토리 구조는 다음과 같다.</w:t>
      </w:r>
    </w:p>
    <w:p>
      <w:pPr>
        <w:spacing w:line="276" w:lineRule="auto" w:before="0" w:after="120"/>
      </w:pPr>
      <w:r>
        <w:rPr>
          <w:rFonts w:ascii="Consolas" w:hAnsi="Consolas"/>
          <w:sz w:val="18"/>
        </w:rPr>
        <w:t>tabnet-xai-rag-credit/</w:t>
        <w:br/>
        <w:t>├── src/                    # 모든 코드</w:t>
        <w:br/>
        <w:t>├── data/                   # 데이터 (gitignored, 원본 데이터셋 다운로드 가이드 포함)</w:t>
        <w:br/>
        <w:t>├── results/                # 모든 실험 결과 csv/json/md</w:t>
        <w:br/>
        <w:t>├── figures/                # 모든 figure png</w:t>
        <w:br/>
        <w:t>├── paper/                  # midterm 자료 (선행 작업물)</w:t>
        <w:br/>
        <w:t>├── thesis/                 # 본 학위논문 (draft 포함)</w:t>
        <w:br/>
        <w:t>└── requirements.txt        # Python 의존성</w:t>
      </w:r>
    </w:p>
    <w:p>
      <w:pPr>
        <w:spacing w:line="480" w:lineRule="auto" w:before="0" w:after="120"/>
        <w:ind w:firstLine="283"/>
        <w:jc w:val="left"/>
      </w:pPr>
      <w:r>
        <w:rPr>
          <w:rFonts w:ascii="Times New Roman" w:hAnsi="Times New Roman" w:eastAsia="맑은 고딕"/>
          <w:b w:val="0"/>
          <w:sz w:val="22"/>
        </w:rPr>
        <w:t>본 코드는 추후 학술적 활용 또는 산업 적용을 위해 자유롭게 활용 가능하다.</w:t>
      </w:r>
    </w:p>
    <w:p>
      <w:r>
        <w:br w:type="page"/>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