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480"/>
        <w:jc w:val="center"/>
      </w:pPr>
      <w:r>
        <w:rPr>
          <w:rFonts w:ascii="Times New Roman" w:hAnsi="Times New Roman" w:eastAsia="맑은 고딕"/>
          <w:b w:val="0"/>
          <w:sz w:val="28"/>
        </w:rPr>
        <w:t>지도교수    박 운 상</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이 논문을 데이터사이언스·인공지능 석사 학위논문으로 제출함</w:t>
      </w:r>
    </w:p>
    <w:p>
      <w:pPr>
        <w:spacing w:line="384" w:lineRule="auto" w:before="0" w:after="360"/>
        <w:jc w:val="center"/>
      </w:pPr>
      <w:r>
        <w:rPr>
          <w:rFonts w:ascii="Times New Roman" w:hAnsi="Times New Roman" w:eastAsia="맑은 고딕"/>
          <w:b w:val="0"/>
          <w:sz w:val="28"/>
        </w:rPr>
        <w:t>2026년 6월 일</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24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sz w:val="48"/>
        </w:rPr>
        <w:t>논 문 인 준 서</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val="0"/>
          <w:sz w:val="28"/>
        </w:rPr>
        <w:t>오 현 택의 데이터사이언스·인공지능 석사 학위논문을 인준함.</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 일</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주심                            (인)</w:t>
      </w:r>
    </w:p>
    <w:p>
      <w:pPr>
        <w:spacing w:line="384" w:lineRule="auto" w:before="0" w:after="360"/>
        <w:jc w:val="center"/>
      </w:pPr>
      <w:r>
        <w:rPr>
          <w:rFonts w:ascii="Times New Roman" w:hAnsi="Times New Roman" w:eastAsia="맑은 고딕"/>
          <w:b w:val="0"/>
          <w:sz w:val="28"/>
        </w:rPr>
        <w:t>부심                            (인)</w:t>
      </w:r>
    </w:p>
    <w:p>
      <w:pPr>
        <w:spacing w:line="384" w:lineRule="auto" w:before="0" w:after="360"/>
        <w:jc w:val="center"/>
      </w:pPr>
      <w:r>
        <w:rPr>
          <w:rFonts w:ascii="Times New Roman" w:hAnsi="Times New Roman" w:eastAsia="맑은 고딕"/>
          <w:b w:val="0"/>
          <w:sz w:val="28"/>
        </w:rPr>
        <w:t>부심                            (인)</w:t>
      </w:r>
    </w:p>
    <w:p>
      <w:r>
        <w:br w:type="page"/>
      </w:r>
    </w:p>
    <w:p>
      <w:pPr>
        <w:pStyle w:val="Heading1"/>
        <w:spacing w:line="384" w:lineRule="auto" w:before="480" w:after="360"/>
        <w:jc w:val="center"/>
      </w:pPr>
      <w:r>
        <w:rPr>
          <w:rFonts w:ascii="Times New Roman" w:hAnsi="Times New Roman" w:eastAsia="맑은 고딕"/>
          <w:b/>
          <w:color w:val="000000"/>
          <w:sz w:val="32"/>
        </w:rPr>
        <w:t>목   차</w:t>
      </w:r>
    </w:p>
    <w:p>
      <w:r>
        <w:rPr>
          <w:rFonts w:ascii="Times New Roman" w:hAnsi="Times New Roman" w:eastAsia="맑은 고딕"/>
          <w:b w:val="0"/>
          <w:sz w:val="22"/>
        </w:rPr>
        <w:fldChar w:fldCharType="begin"/>
        <w:instrText xml:space="preserve"> TOC \o "1-3" \h \z \u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표 차례</w:t>
      </w:r>
    </w:p>
    <w:p>
      <w:r>
        <w:rPr>
          <w:rFonts w:ascii="Times New Roman" w:hAnsi="Times New Roman" w:eastAsia="맑은 고딕"/>
          <w:b w:val="0"/>
          <w:sz w:val="22"/>
        </w:rPr>
        <w:fldChar w:fldCharType="begin"/>
        <w:instrText xml:space="preserve"> TOC \h \z \c "표"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그림 차례</w:t>
      </w:r>
    </w:p>
    <w:p>
      <w:r>
        <w:rPr>
          <w:rFonts w:ascii="Times New Roman" w:hAnsi="Times New Roman" w:eastAsia="맑은 고딕"/>
          <w:b w:val="0"/>
          <w:sz w:val="22"/>
        </w:rPr>
        <w:fldChar w:fldCharType="begin"/>
        <w:instrText xml:space="preserve"> TOC \h \z \c "그림"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초록 / Abstract</w:t>
      </w:r>
    </w:p>
    <w:p>
      <w:pPr>
        <w:spacing w:line="360" w:lineRule="auto" w:before="120" w:after="120"/>
        <w:jc w:val="center"/>
      </w:pPr>
      <w:r>
        <w:rPr>
          <w:rFonts w:ascii="Times New Roman" w:hAnsi="Times New Roman" w:eastAsia="맑은 고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맑은 고딕"/>
          <w:b w:val="0"/>
          <w:i/>
          <w:sz w:val="22"/>
        </w:rPr>
        <w:t>본 논문은 한국어 본문이므로 영문 Abstract 가 앞에 배치된다.</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English Abstract</w:t>
      </w:r>
    </w:p>
    <w:p>
      <w:pPr>
        <w:spacing w:line="384"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384"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384" w:lineRule="auto" w:before="0" w:after="120"/>
        <w:ind w:firstLine="283"/>
        <w:jc w:val="left"/>
      </w:pPr>
      <w:r>
        <w:rPr>
          <w:rFonts w:ascii="Times New Roman" w:hAnsi="Times New Roman" w:eastAsia="맑은 고딕"/>
          <w:b w:val="0"/>
          <w:sz w:val="22"/>
        </w:rPr>
        <w:t>By Hyuntaek Oh</w:t>
      </w:r>
    </w:p>
    <w:p>
      <w:pPr>
        <w:spacing w:line="384" w:lineRule="auto" w:before="0" w:after="120"/>
        <w:ind w:firstLine="283"/>
        <w:jc w:val="left"/>
      </w:pPr>
      <w:r>
        <w:rPr>
          <w:rFonts w:ascii="Times New Roman" w:hAnsi="Times New Roman" w:eastAsia="맑은 고딕"/>
          <w:b w:val="0"/>
          <w:sz w:val="22"/>
        </w:rPr>
        <w:t>Department of Data Science · AI</w:t>
      </w:r>
    </w:p>
    <w:p>
      <w:pPr>
        <w:spacing w:line="384" w:lineRule="auto" w:before="0" w:after="120"/>
        <w:ind w:firstLine="283"/>
        <w:jc w:val="left"/>
      </w:pPr>
      <w:r>
        <w:rPr>
          <w:rFonts w:ascii="Times New Roman" w:hAnsi="Times New Roman" w:eastAsia="맑은 고딕"/>
          <w:b w:val="0"/>
          <w:sz w:val="22"/>
        </w:rPr>
        <w:t>Under the supervision of Professor Unsang Park</w:t>
      </w:r>
    </w:p>
    <w:p>
      <w:pPr>
        <w:spacing w:line="384"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384"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384"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384"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384"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국문 초록</w:t>
      </w:r>
    </w:p>
    <w:p>
      <w:pPr>
        <w:spacing w:line="384"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384"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384" w:lineRule="auto" w:before="0" w:after="120"/>
        <w:ind w:firstLine="283"/>
        <w:jc w:val="left"/>
      </w:pPr>
      <w:r>
        <w:rPr>
          <w:rFonts w:ascii="Times New Roman" w:hAnsi="Times New Roman" w:eastAsia="맑은 고딕"/>
          <w:b w:val="0"/>
          <w:sz w:val="22"/>
        </w:rPr>
        <w:t>저자: 오현택</w:t>
      </w:r>
    </w:p>
    <w:p>
      <w:pPr>
        <w:spacing w:line="384" w:lineRule="auto" w:before="0" w:after="120"/>
        <w:ind w:firstLine="283"/>
        <w:jc w:val="left"/>
      </w:pPr>
      <w:r>
        <w:rPr>
          <w:rFonts w:ascii="Times New Roman" w:hAnsi="Times New Roman" w:eastAsia="맑은 고딕"/>
          <w:b w:val="0"/>
          <w:sz w:val="22"/>
        </w:rPr>
        <w:t>전공: 데이터사이언스·인공지능</w:t>
      </w:r>
    </w:p>
    <w:p>
      <w:pPr>
        <w:spacing w:line="384" w:lineRule="auto" w:before="0" w:after="120"/>
        <w:ind w:firstLine="283"/>
        <w:jc w:val="left"/>
      </w:pPr>
      <w:r>
        <w:rPr>
          <w:rFonts w:ascii="Times New Roman" w:hAnsi="Times New Roman" w:eastAsia="맑은 고딕"/>
          <w:b w:val="0"/>
          <w:sz w:val="22"/>
        </w:rPr>
        <w:t>지도교수: 박운상</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384"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384"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384"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384" w:lineRule="auto" w:before="480" w:after="360"/>
        <w:jc w:val="center"/>
      </w:pPr>
      <w:r>
        <w:rPr>
          <w:rFonts w:ascii="Times New Roman" w:hAnsi="Times New Roman" w:eastAsia="맑은 고딕"/>
          <w:b/>
          <w:color w:val="000000"/>
          <w:sz w:val="32"/>
        </w:rPr>
        <w:t>제 1 장. 서론</w:t>
      </w:r>
    </w:p>
    <w:p>
      <w:pPr>
        <w:pStyle w:val="Heading2"/>
        <w:spacing w:line="384" w:lineRule="auto" w:before="360" w:after="240"/>
        <w:jc w:val="left"/>
      </w:pPr>
      <w:r>
        <w:rPr>
          <w:rFonts w:ascii="Times New Roman" w:hAnsi="Times New Roman" w:eastAsia="맑은 고딕"/>
          <w:b/>
          <w:color w:val="000000"/>
          <w:sz w:val="26"/>
        </w:rPr>
        <w:t>1.1 연구 배경 및 목적</w:t>
      </w:r>
    </w:p>
    <w:p>
      <w:pPr>
        <w:spacing w:line="384"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384"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384"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384"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384"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384"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384" w:lineRule="auto" w:before="360" w:after="240"/>
        <w:jc w:val="left"/>
      </w:pPr>
      <w:r>
        <w:rPr>
          <w:rFonts w:ascii="Times New Roman" w:hAnsi="Times New Roman" w:eastAsia="맑은 고딕"/>
          <w:b/>
          <w:color w:val="000000"/>
          <w:sz w:val="26"/>
        </w:rPr>
        <w:t>1.2 연구 동기 및 연구 질문</w:t>
      </w:r>
    </w:p>
    <w:p>
      <w:pPr>
        <w:spacing w:line="384"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384"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384"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384"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384"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384"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384"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384"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384"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384"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384"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384" w:lineRule="auto" w:before="360" w:after="240"/>
        <w:jc w:val="left"/>
      </w:pPr>
      <w:r>
        <w:rPr>
          <w:rFonts w:ascii="Times New Roman" w:hAnsi="Times New Roman" w:eastAsia="맑은 고딕"/>
          <w:b/>
          <w:color w:val="000000"/>
          <w:sz w:val="26"/>
        </w:rPr>
        <w:t>1.3 본 논문의 기여</w:t>
      </w:r>
    </w:p>
    <w:p>
      <w:pPr>
        <w:spacing w:line="384"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384"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384"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384"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384"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384"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384"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pStyle w:val="Heading2"/>
        <w:spacing w:line="384" w:lineRule="auto" w:before="360" w:after="240"/>
        <w:jc w:val="left"/>
      </w:pPr>
      <w:r>
        <w:rPr>
          <w:rFonts w:ascii="Times New Roman" w:hAnsi="Times New Roman" w:eastAsia="맑은 고딕"/>
          <w:b/>
          <w:color w:val="000000"/>
          <w:sz w:val="26"/>
        </w:rPr>
        <w:t>1.4 논문 구성</w:t>
      </w:r>
    </w:p>
    <w:p>
      <w:pPr>
        <w:spacing w:line="384"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384"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384"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384"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384"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384"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384"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384"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pStyle w:val="Heading1"/>
        <w:spacing w:line="384" w:lineRule="auto" w:before="480" w:after="360"/>
        <w:jc w:val="center"/>
      </w:pPr>
      <w:r>
        <w:rPr>
          <w:rFonts w:ascii="Times New Roman" w:hAnsi="Times New Roman" w:eastAsia="맑은 고딕"/>
          <w:b/>
          <w:color w:val="000000"/>
          <w:sz w:val="32"/>
        </w:rPr>
        <w:t>제 2 장. 이론적 배경</w:t>
      </w:r>
    </w:p>
    <w:p>
      <w:pPr>
        <w:pStyle w:val="Heading2"/>
        <w:spacing w:line="384" w:lineRule="auto" w:before="360" w:after="240"/>
        <w:jc w:val="left"/>
      </w:pPr>
      <w:r>
        <w:rPr>
          <w:rFonts w:ascii="Times New Roman" w:hAnsi="Times New Roman" w:eastAsia="맑은 고딕"/>
          <w:b/>
          <w:color w:val="000000"/>
          <w:sz w:val="26"/>
        </w:rPr>
        <w:t>2.1 신용평가 시스템의 이론적 배경</w:t>
      </w:r>
    </w:p>
    <w:p>
      <w:pPr>
        <w:spacing w:line="384"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384"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384"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384" w:lineRule="auto" w:before="360" w:after="240"/>
        <w:jc w:val="left"/>
      </w:pPr>
      <w:r>
        <w:rPr>
          <w:rFonts w:ascii="Times New Roman" w:hAnsi="Times New Roman" w:eastAsia="맑은 고딕"/>
          <w:b/>
          <w:color w:val="000000"/>
          <w:sz w:val="26"/>
        </w:rPr>
        <w:t>2.2 머신러닝·딥러닝 기반 신용 리스크 예측 연구 동향</w:t>
      </w:r>
    </w:p>
    <w:p>
      <w:pPr>
        <w:spacing w:line="384"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384"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384" w:lineRule="auto" w:before="0" w:after="120"/>
        <w:ind w:firstLine="283"/>
        <w:jc w:val="left"/>
      </w:pPr>
      <w:r>
        <w:rPr>
          <w:rFonts w:ascii="Times New Roman" w:hAnsi="Times New Roman" w:eastAsia="맑은 고딕"/>
          <w:b w:val="0"/>
          <w:sz w:val="22"/>
        </w:rPr>
        <w:t>본 연구는 기존 신용평가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384" w:lineRule="auto" w:before="360" w:after="240"/>
        <w:jc w:val="left"/>
      </w:pPr>
      <w:r>
        <w:rPr>
          <w:rFonts w:ascii="Times New Roman" w:hAnsi="Times New Roman" w:eastAsia="맑은 고딕"/>
          <w:b/>
          <w:color w:val="000000"/>
          <w:sz w:val="26"/>
        </w:rPr>
        <w:t>2.3 설명 가능한 인공지능(XAI)</w:t>
      </w:r>
    </w:p>
    <w:p>
      <w:pPr>
        <w:pStyle w:val="Heading3"/>
        <w:spacing w:line="384" w:lineRule="auto" w:before="240" w:after="120"/>
        <w:jc w:val="left"/>
      </w:pPr>
      <w:r>
        <w:rPr>
          <w:rFonts w:ascii="Times New Roman" w:hAnsi="Times New Roman" w:eastAsia="맑은 고딕"/>
          <w:b/>
          <w:color w:val="000000"/>
          <w:sz w:val="22"/>
        </w:rPr>
        <w:t>2.3.1 SHAP</w:t>
      </w:r>
    </w:p>
    <w:p>
      <w:pPr>
        <w:spacing w:line="384"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맑은 고딕"/>
          <w:b w:val="0"/>
          <w:i/>
          <w:sz w:val="22"/>
        </w:rPr>
        <w:t>수식 2-1: f(x) = phi_0 + sum_{i=1 to n} phi_i</w:t>
      </w:r>
    </w:p>
    <w:p>
      <w:pPr>
        <w:spacing w:line="384"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[15] 대규모 데이터에서도 합리적인 시간에 SHAP 값을 산출할 수 있다.</w:t>
      </w:r>
    </w:p>
    <w:p>
      <w:pPr>
        <w:spacing w:line="384"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384" w:lineRule="auto" w:before="240" w:after="120"/>
        <w:jc w:val="left"/>
      </w:pPr>
      <w:r>
        <w:rPr>
          <w:rFonts w:ascii="Times New Roman" w:hAnsi="Times New Roman" w:eastAsia="맑은 고딕"/>
          <w:b/>
          <w:color w:val="000000"/>
          <w:sz w:val="22"/>
        </w:rPr>
        <w:t>2.3.2 TabNet의 인스턴스 수준 어텐션</w:t>
      </w:r>
    </w:p>
    <w:p>
      <w:pPr>
        <w:spacing w:line="384"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384"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384" w:lineRule="auto" w:before="240" w:after="120"/>
        <w:jc w:val="left"/>
      </w:pPr>
      <w:r>
        <w:rPr>
          <w:rFonts w:ascii="Times New Roman" w:hAnsi="Times New Roman" w:eastAsia="맑은 고딕"/>
          <w:b/>
          <w:color w:val="000000"/>
          <w:sz w:val="22"/>
        </w:rPr>
        <w:t>2.3.3 SHAP과 어텐션의 일관성에 관한 선행 연구</w:t>
      </w:r>
    </w:p>
    <w:p>
      <w:pPr>
        <w:spacing w:line="384"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[16].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384"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384" w:lineRule="auto" w:before="360" w:after="240"/>
        <w:jc w:val="left"/>
      </w:pPr>
      <w:r>
        <w:rPr>
          <w:rFonts w:ascii="Times New Roman" w:hAnsi="Times New Roman" w:eastAsia="맑은 고딕"/>
          <w:b/>
          <w:color w:val="000000"/>
          <w:sz w:val="26"/>
        </w:rPr>
        <w:t>2.4 거대언어모델 기반 자연어 설명과 RAG</w:t>
      </w:r>
    </w:p>
    <w:p>
      <w:pPr>
        <w:pStyle w:val="Heading3"/>
        <w:spacing w:line="384" w:lineRule="auto" w:before="240" w:after="120"/>
        <w:jc w:val="left"/>
      </w:pPr>
      <w:r>
        <w:rPr>
          <w:rFonts w:ascii="Times New Roman" w:hAnsi="Times New Roman" w:eastAsia="맑은 고딕"/>
          <w:b/>
          <w:color w:val="000000"/>
          <w:sz w:val="22"/>
        </w:rPr>
        <w:t>2.4.1 LLM과 검색 증강 생성(RAG)</w:t>
      </w:r>
    </w:p>
    <w:p>
      <w:pPr>
        <w:spacing w:line="384"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384"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[17].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384"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384" w:lineRule="auto" w:before="240" w:after="120"/>
        <w:jc w:val="left"/>
      </w:pPr>
      <w:r>
        <w:rPr>
          <w:rFonts w:ascii="Times New Roman" w:hAnsi="Times New Roman" w:eastAsia="맑은 고딕"/>
          <w:b/>
          <w:color w:val="000000"/>
          <w:sz w:val="22"/>
        </w:rPr>
        <w:t>2.4.2 환각의 정의와 정량 평가</w:t>
      </w:r>
    </w:p>
    <w:p>
      <w:pPr>
        <w:spacing w:line="384"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[17],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384" w:lineRule="auto" w:before="0" w:after="120"/>
        <w:ind w:firstLine="283"/>
        <w:jc w:val="left"/>
      </w:pPr>
      <w:r>
        <w:rPr>
          <w:rFonts w:ascii="Times New Roman" w:hAnsi="Times New Roman" w:eastAsia="맑은 고딕"/>
          <w:b w:val="0"/>
          <w:sz w:val="22"/>
        </w:rPr>
        <w:t>LLM 평가에서 자주 활용되는 G-Eval [18]은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384" w:lineRule="auto" w:before="360" w:after="240"/>
        <w:jc w:val="left"/>
      </w:pPr>
      <w:r>
        <w:rPr>
          <w:rFonts w:ascii="Times New Roman" w:hAnsi="Times New Roman" w:eastAsia="맑은 고딕"/>
          <w:b/>
          <w:color w:val="000000"/>
          <w:sz w:val="26"/>
        </w:rPr>
        <w:t>2.5 신용평가의 공정성</w:t>
      </w:r>
    </w:p>
    <w:p>
      <w:pPr>
        <w:pStyle w:val="Heading3"/>
        <w:spacing w:line="384" w:lineRule="auto" w:before="240" w:after="120"/>
        <w:jc w:val="left"/>
      </w:pPr>
      <w:r>
        <w:rPr>
          <w:rFonts w:ascii="Times New Roman" w:hAnsi="Times New Roman" w:eastAsia="맑은 고딕"/>
          <w:b/>
          <w:color w:val="000000"/>
          <w:sz w:val="22"/>
        </w:rPr>
        <w:t>2.5.1 4/5 규칙과 Disparate Impact</w:t>
      </w:r>
    </w:p>
    <w:p>
      <w:pPr>
        <w:spacing w:line="384"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[19]을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맑은 고딕"/>
          <w:b w:val="0"/>
          <w:i/>
          <w:sz w:val="22"/>
        </w:rPr>
        <w:t>수식 2-2: DI = P(ŷ=1 | protected) / P(ŷ=1 | non-protected)</w:t>
      </w:r>
    </w:p>
    <w:p>
      <w:pPr>
        <w:spacing w:line="384"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384"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[20]. DP는 그룹 간 절대 차이만을 보지만 EO는 양성 클래스의 정확도까지 반영한다는 점에서 보완 관계에 있다.</w:t>
      </w:r>
    </w:p>
    <w:p>
      <w:pPr>
        <w:pStyle w:val="Heading3"/>
        <w:spacing w:line="384" w:lineRule="auto" w:before="240" w:after="120"/>
        <w:jc w:val="left"/>
      </w:pPr>
      <w:r>
        <w:rPr>
          <w:rFonts w:ascii="Times New Roman" w:hAnsi="Times New Roman" w:eastAsia="맑은 고딕"/>
          <w:b/>
          <w:color w:val="000000"/>
          <w:sz w:val="22"/>
        </w:rPr>
        <w:t>2.5.2 공정성 보정 기법</w:t>
      </w:r>
    </w:p>
    <w:p>
      <w:pPr>
        <w:spacing w:line="384"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384"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맑은 고딕"/>
          <w:b w:val="0"/>
          <w:i/>
          <w:sz w:val="22"/>
        </w:rPr>
        <w:t>수식 2-3: w(x) = [P(s) × P(y)] / P(s, y)</w:t>
      </w:r>
    </w:p>
    <w:p>
      <w:pPr>
        <w:spacing w:line="384"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384" w:lineRule="auto" w:before="0" w:after="120"/>
        <w:ind w:firstLine="283"/>
        <w:jc w:val="left"/>
      </w:pPr>
      <w:r>
        <w:rPr>
          <w:rFonts w:ascii="Times New Roman" w:hAnsi="Times New Roman" w:eastAsia="맑은 고딕"/>
          <w:b w:val="0"/>
          <w:sz w:val="22"/>
        </w:rPr>
        <w:t>도중 처리 기법으로는 Microsoft의 Fairlearn [21]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384" w:lineRule="auto" w:before="360" w:after="240"/>
        <w:jc w:val="left"/>
      </w:pPr>
      <w:r>
        <w:rPr>
          <w:rFonts w:ascii="Times New Roman" w:hAnsi="Times New Roman" w:eastAsia="맑은 고딕"/>
          <w:b/>
          <w:color w:val="000000"/>
          <w:sz w:val="26"/>
        </w:rPr>
        <w:t>2.6 LLM 평가 방법론</w:t>
      </w:r>
    </w:p>
    <w:p>
      <w:pPr>
        <w:pStyle w:val="Heading3"/>
        <w:spacing w:line="384" w:lineRule="auto" w:before="240" w:after="120"/>
        <w:jc w:val="left"/>
      </w:pPr>
      <w:r>
        <w:rPr>
          <w:rFonts w:ascii="Times New Roman" w:hAnsi="Times New Roman" w:eastAsia="맑은 고딕"/>
          <w:b/>
          <w:color w:val="000000"/>
          <w:sz w:val="22"/>
        </w:rPr>
        <w:t>2.6.1 G-Eval과 LLM-as-a-Judge</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384"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[22]. 이를 완화하기 위해 본 연구는 교차 평가(cross-judge) 를 도입하여 Claude가 Gemini의 출력을, Gemini가 Claude의 출력을 평가하도록 구성한다.</w:t>
      </w:r>
    </w:p>
    <w:p>
      <w:pPr>
        <w:pStyle w:val="Heading3"/>
        <w:spacing w:line="384" w:lineRule="auto" w:before="240" w:after="120"/>
        <w:jc w:val="left"/>
      </w:pPr>
      <w:r>
        <w:rPr>
          <w:rFonts w:ascii="Times New Roman" w:hAnsi="Times New Roman" w:eastAsia="맑은 고딕"/>
          <w:b/>
          <w:color w:val="000000"/>
          <w:sz w:val="22"/>
        </w:rPr>
        <w:t>2.6.2 NLI 기반 의미적 충실성 평가</w:t>
      </w:r>
    </w:p>
    <w:p>
      <w:pPr>
        <w:spacing w:line="384"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[23]를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384" w:lineRule="auto" w:before="240" w:after="120"/>
        <w:jc w:val="left"/>
      </w:pPr>
      <w:r>
        <w:rPr>
          <w:rFonts w:ascii="Times New Roman" w:hAnsi="Times New Roman" w:eastAsia="맑은 고딕"/>
          <w:b/>
          <w:color w:val="000000"/>
          <w:sz w:val="22"/>
        </w:rPr>
        <w:t>2.6.3 페르소나 기반 평가</w:t>
      </w:r>
    </w:p>
    <w:p>
      <w:pPr>
        <w:spacing w:line="384"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[24]. 3개의 페르소나(신용 전문가 / 고객 / 규제기관)에 대하여 신뢰도(trustworthiness), 명료도(clarity), 행동 가능성(actionability) 의 3가지 척도를 5점 만점으로 평가하도록 LLM judge에게 지시한다.</w:t>
      </w:r>
    </w:p>
    <w:p>
      <w:pPr>
        <w:spacing w:line="384"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384" w:lineRule="auto" w:before="480" w:after="360"/>
        <w:jc w:val="center"/>
      </w:pPr>
      <w:r>
        <w:rPr>
          <w:rFonts w:ascii="Times New Roman" w:hAnsi="Times New Roman" w:eastAsia="맑은 고딕"/>
          <w:b/>
          <w:color w:val="000000"/>
          <w:sz w:val="32"/>
        </w:rPr>
        <w:t>제 3 장. 연구 방법론</w:t>
      </w:r>
    </w:p>
    <w:p>
      <w:pPr>
        <w:spacing w:line="384" w:lineRule="auto" w:before="0" w:after="240"/>
        <w:ind w:firstLine="283"/>
        <w:jc w:val="left"/>
      </w:pPr>
      <w:r>
        <w:rPr>
          <w:rFonts w:ascii="Times New Roman" w:hAnsi="Times New Roman" w:eastAsia="맑은 고딕"/>
          <w:b w:val="0"/>
          <w:sz w:val="22"/>
        </w:rPr>
        <w:t>본 장은 본 연구가 활용한 데이터와 전처리 정책(3.1), 예측·해석·융합·자연어 생성·공정성 보정으로 구성된 시스템 구조와 모델 설계(3.2), 그리고 4-tier 평가 프레임워크(3.3)를 통합 기술한다.</w:t>
      </w:r>
    </w:p>
    <w:p>
      <w:pPr>
        <w:pStyle w:val="Heading3"/>
        <w:spacing w:line="384" w:lineRule="auto" w:before="240" w:after="120"/>
        <w:jc w:val="left"/>
      </w:pPr>
      <w:r>
        <w:rPr>
          <w:rFonts w:ascii="Times New Roman" w:hAnsi="Times New Roman" w:eastAsia="맑은 고딕"/>
          <w:b/>
          <w:color w:val="000000"/>
          <w:sz w:val="22"/>
        </w:rPr>
        <w:t>3.1.1 데이터셋 개요</w:t>
      </w:r>
    </w:p>
    <w:p>
      <w:pPr>
        <w:spacing w:line="384"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spacing w:line="384" w:lineRule="auto" w:before="200" w:after="80"/>
        <w:jc w:val="left"/>
      </w:pPr>
      <w:r>
        <w:rPr>
          <w:rFonts w:ascii="Times New Roman" w:hAnsi="Times New Roman" w:eastAsia="맑은 고딕"/>
          <w:b/>
          <w:sz w:val="22"/>
        </w:rPr>
        <w:t>(a) Kaggle Home Credit Default Risk</w:t>
      </w:r>
    </w:p>
    <w:p>
      <w:pPr>
        <w:spacing w:line="384"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384"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384"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384"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spacing w:line="384" w:lineRule="auto" w:before="200" w:after="80"/>
        <w:jc w:val="left"/>
      </w:pPr>
      <w:r>
        <w:rPr>
          <w:rFonts w:ascii="Times New Roman" w:hAnsi="Times New Roman" w:eastAsia="맑은 고딕"/>
          <w:b/>
          <w:sz w:val="22"/>
        </w:rPr>
        <w:t>(b) UCI German Credit</w:t>
      </w:r>
    </w:p>
    <w:p>
      <w:pPr>
        <w:spacing w:line="384"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384"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384"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384"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spacing w:line="384" w:lineRule="auto" w:before="200" w:after="80"/>
        <w:jc w:val="left"/>
      </w:pPr>
      <w:r>
        <w:rPr>
          <w:rFonts w:ascii="Times New Roman" w:hAnsi="Times New Roman" w:eastAsia="맑은 고딕"/>
          <w:b/>
          <w:sz w:val="22"/>
        </w:rPr>
        <w:t>(c) 두 데이터셋의 비교</w:t>
      </w:r>
    </w:p>
    <w:p>
      <w:pPr>
        <w:spacing w:line="384"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384"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384"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pStyle w:val="Heading3"/>
        <w:spacing w:line="384" w:lineRule="auto" w:before="240" w:after="120"/>
        <w:jc w:val="left"/>
      </w:pPr>
      <w:r>
        <w:rPr>
          <w:rFonts w:ascii="Times New Roman" w:hAnsi="Times New Roman" w:eastAsia="맑은 고딕"/>
          <w:b/>
          <w:color w:val="000000"/>
          <w:sz w:val="22"/>
        </w:rPr>
        <w:t>3.1.2 탐색적 데이터 분석</w:t>
      </w:r>
    </w:p>
    <w:p>
      <w:pPr>
        <w:spacing w:line="384" w:lineRule="auto" w:before="200" w:after="80"/>
        <w:jc w:val="left"/>
      </w:pPr>
      <w:r>
        <w:rPr>
          <w:rFonts w:ascii="Times New Roman" w:hAnsi="Times New Roman" w:eastAsia="맑은 고딕"/>
          <w:b/>
          <w:sz w:val="22"/>
        </w:rPr>
        <w:t>(a) Home Credit 데이터셋 EDA</w:t>
      </w:r>
    </w:p>
    <w:p>
      <w:pPr>
        <w:spacing w:line="384"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384"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384"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384"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spacing w:line="384" w:lineRule="auto" w:before="200" w:after="80"/>
        <w:jc w:val="left"/>
      </w:pPr>
      <w:r>
        <w:rPr>
          <w:rFonts w:ascii="Times New Roman" w:hAnsi="Times New Roman" w:eastAsia="맑은 고딕"/>
          <w:b/>
          <w:sz w:val="22"/>
        </w:rPr>
        <w:t>(b) German Credit 데이터셋 EDA</w:t>
      </w:r>
    </w:p>
    <w:p>
      <w:pPr>
        <w:spacing w:line="384"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384"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384"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pStyle w:val="Heading3"/>
        <w:spacing w:line="384" w:lineRule="auto" w:before="240" w:after="120"/>
        <w:jc w:val="left"/>
      </w:pPr>
      <w:r>
        <w:rPr>
          <w:rFonts w:ascii="Times New Roman" w:hAnsi="Times New Roman" w:eastAsia="맑은 고딕"/>
          <w:b/>
          <w:color w:val="000000"/>
          <w:sz w:val="22"/>
        </w:rPr>
        <w:t>3.1.3 전처리 정책</w:t>
      </w:r>
    </w:p>
    <w:p>
      <w:pPr>
        <w:spacing w:line="384" w:lineRule="auto" w:before="0" w:after="120"/>
        <w:ind w:firstLine="283"/>
        <w:jc w:val="left"/>
      </w:pPr>
      <w:r>
        <w:rPr>
          <w:rFonts w:ascii="Times New Roman" w:hAnsi="Times New Roman" w:eastAsia="맑은 고딕"/>
          <w:b w:val="0"/>
          <w:sz w:val="22"/>
        </w:rPr>
        <w:t>본 연구의 전처리 정책은 신용평가 도메인의 표준 전처리 패턴을 바탕으로, Home Credit의 높은 결측률과 고-카디널리티 범주형 변수에 대응하는 신규 정책을 도입한다. 모든 결정 사항은 SEED=42로 고정한 재현 가능한 파이프라인으로 구현된다.</w:t>
      </w:r>
    </w:p>
    <w:p>
      <w:pPr>
        <w:spacing w:line="384" w:lineRule="auto" w:before="200" w:after="80"/>
        <w:jc w:val="left"/>
      </w:pPr>
      <w:r>
        <w:rPr>
          <w:rFonts w:ascii="Times New Roman" w:hAnsi="Times New Roman" w:eastAsia="맑은 고딕"/>
          <w:b/>
          <w:sz w:val="22"/>
        </w:rPr>
        <w:t>(a) 결측치 처리 (정책 A1)</w:t>
      </w:r>
    </w:p>
    <w:p>
      <w:pPr>
        <w:spacing w:line="384"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384"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384"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384"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384"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spacing w:line="384" w:lineRule="auto" w:before="200" w:after="80"/>
        <w:jc w:val="left"/>
      </w:pPr>
      <w:r>
        <w:rPr>
          <w:rFonts w:ascii="Times New Roman" w:hAnsi="Times New Roman" w:eastAsia="맑은 고딕"/>
          <w:b/>
          <w:sz w:val="22"/>
        </w:rPr>
        <w:t>(b) 범주형 인코딩 (정책 B1)</w:t>
      </w:r>
    </w:p>
    <w:p>
      <w:pPr>
        <w:spacing w:line="384"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384"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384"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384"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spacing w:line="384" w:lineRule="auto" w:before="200" w:after="80"/>
        <w:jc w:val="left"/>
      </w:pPr>
      <w:r>
        <w:rPr>
          <w:rFonts w:ascii="Times New Roman" w:hAnsi="Times New Roman" w:eastAsia="맑은 고딕"/>
          <w:b/>
          <w:sz w:val="22"/>
        </w:rPr>
        <w:t>(c) 데이터 분할 (정책 D)</w:t>
      </w:r>
    </w:p>
    <w:p>
      <w:pPr>
        <w:spacing w:line="384"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384"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spacing w:line="384" w:lineRule="auto" w:before="200" w:after="80"/>
        <w:jc w:val="left"/>
      </w:pPr>
      <w:r>
        <w:rPr>
          <w:rFonts w:ascii="Times New Roman" w:hAnsi="Times New Roman" w:eastAsia="맑은 고딕"/>
          <w:b/>
          <w:sz w:val="22"/>
        </w:rPr>
        <w:t>(d) 보호 속성 처리 (정책 F)</w:t>
      </w:r>
    </w:p>
    <w:p>
      <w:pPr>
        <w:spacing w:line="384"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384"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spacing w:line="384" w:lineRule="auto" w:before="200" w:after="80"/>
        <w:jc w:val="left"/>
      </w:pPr>
      <w:r>
        <w:rPr>
          <w:rFonts w:ascii="Times New Roman" w:hAnsi="Times New Roman" w:eastAsia="맑은 고딕"/>
          <w:b/>
          <w:sz w:val="22"/>
        </w:rPr>
        <w:t>(e) 변수 스케일링과 출력 형식</w:t>
      </w:r>
    </w:p>
    <w:p>
      <w:pPr>
        <w:spacing w:line="384"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384"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384"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384"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384"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pPr>
        <w:pStyle w:val="Heading3"/>
        <w:spacing w:line="384" w:lineRule="auto" w:before="240" w:after="120"/>
        <w:jc w:val="left"/>
      </w:pPr>
      <w:r>
        <w:rPr>
          <w:rFonts w:ascii="Times New Roman" w:hAnsi="Times New Roman" w:eastAsia="맑은 고딕"/>
          <w:b/>
          <w:color w:val="000000"/>
          <w:sz w:val="22"/>
        </w:rPr>
        <w:t>3.2.1 시스템 전체 구조</w:t>
      </w:r>
    </w:p>
    <w:p>
      <w:pPr>
        <w:spacing w:line="384"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240" w:lineRule="auto" w:before="240" w:after="0"/>
        <w:jc w:val="center"/>
      </w:pPr>
      <w:r>
        <w:drawing>
          <wp:inline xmlns:a="http://schemas.openxmlformats.org/drawingml/2006/main" xmlns:pic="http://schemas.openxmlformats.org/drawingml/2006/picture">
            <wp:extent cx="5040000" cy="2695814"/>
            <wp:docPr id="1" name="Picture 1"/>
            <wp:cNvGraphicFramePr>
              <a:graphicFrameLocks noChangeAspect="1"/>
            </wp:cNvGraphicFramePr>
            <a:graphic>
              <a:graphicData uri="http://schemas.openxmlformats.org/drawingml/2006/picture">
                <pic:pic>
                  <pic:nvPicPr>
                    <pic:cNvPr id="0" name="42_thesis_pipeline.png"/>
                    <pic:cNvPicPr/>
                  </pic:nvPicPr>
                  <pic:blipFill>
                    <a:blip r:embed="rId9"/>
                    <a:stretch>
                      <a:fillRect/>
                    </a:stretch>
                  </pic:blipFill>
                  <pic:spPr>
                    <a:xfrm>
                      <a:off x="0" y="0"/>
                      <a:ext cx="5040000" cy="2695814"/>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본 연구가 제안하는 시스템의 4단계 파이프라인 구조 — 예측 → 해석 → ★ 동의 기반 융합 컨텍스트 → LLM-RAG 자연어 생성 + 4-tier 평가</w:t>
      </w:r>
    </w:p>
    <w:p>
      <w:pPr>
        <w:spacing w:line="384" w:lineRule="auto" w:before="0" w:after="120"/>
        <w:ind w:firstLine="283"/>
        <w:jc w:val="left"/>
      </w:pPr>
      <w:r>
        <w:rPr>
          <w:rFonts w:ascii="Times New Roman" w:hAnsi="Times New Roman" w:eastAsia="맑은 고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384" w:lineRule="auto" w:before="0" w:after="120"/>
        <w:ind w:firstLine="283"/>
        <w:jc w:val="left"/>
      </w:pPr>
      <w:r>
        <w:rPr>
          <w:rFonts w:ascii="Times New Roman" w:hAnsi="Times New Roman" w:eastAsia="맑은 고딕"/>
          <w:b w:val="0"/>
          <w:sz w:val="22"/>
        </w:rPr>
        <w:t>2. 해석 단계: XGBoost의 예측에 대해 TreeSHAP [15]을 적용하여 인스턴스별 변수 SHAP 값 phi (n차원 실수 벡터)을 산출하고, TabNet의 어텐션 마스크 M_att (값 범위 [0, 1]의 n차원 벡터)와 비교 가능한 형태로 정렬한다.</w:t>
      </w:r>
    </w:p>
    <w:p>
      <w:pPr>
        <w:spacing w:line="384" w:lineRule="auto" w:before="0" w:after="120"/>
        <w:ind w:firstLine="283"/>
        <w:jc w:val="left"/>
      </w:pPr>
      <w:r>
        <w:rPr>
          <w:rFonts w:ascii="Times New Roman" w:hAnsi="Times New Roman" w:eastAsia="맑은 고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384"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384"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3"/>
        <w:spacing w:line="384" w:lineRule="auto" w:before="240" w:after="120"/>
        <w:jc w:val="left"/>
      </w:pPr>
      <w:r>
        <w:rPr>
          <w:rFonts w:ascii="Times New Roman" w:hAnsi="Times New Roman" w:eastAsia="맑은 고딕"/>
          <w:b/>
          <w:color w:val="000000"/>
          <w:sz w:val="22"/>
        </w:rPr>
        <w:t>3.2.2 예측 모델 학습</w:t>
      </w:r>
    </w:p>
    <w:p>
      <w:pPr>
        <w:spacing w:line="384" w:lineRule="auto" w:before="200" w:after="80"/>
        <w:jc w:val="left"/>
      </w:pPr>
      <w:r>
        <w:rPr>
          <w:rFonts w:ascii="Times New Roman" w:hAnsi="Times New Roman" w:eastAsia="맑은 고딕"/>
          <w:b/>
          <w:sz w:val="22"/>
        </w:rPr>
        <w:t>(a) XGBoost (메인 예측 모델)</w:t>
      </w:r>
    </w:p>
    <w:p>
      <w:pPr>
        <w:spacing w:line="384"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384"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spacing w:line="384" w:lineRule="auto" w:before="200" w:after="80"/>
        <w:jc w:val="left"/>
      </w:pPr>
      <w:r>
        <w:rPr>
          <w:rFonts w:ascii="Times New Roman" w:hAnsi="Times New Roman" w:eastAsia="맑은 고딕"/>
          <w:b/>
          <w:sz w:val="22"/>
        </w:rPr>
        <w:t>(b) TabNet (보조 + 어텐션 추출용)</w:t>
      </w:r>
    </w:p>
    <w:p>
      <w:pPr>
        <w:spacing w:line="384"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384"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spacing w:line="384" w:lineRule="auto" w:before="200" w:after="80"/>
        <w:jc w:val="left"/>
      </w:pPr>
      <w:r>
        <w:rPr>
          <w:rFonts w:ascii="Times New Roman" w:hAnsi="Times New Roman" w:eastAsia="맑은 고딕"/>
          <w:b/>
          <w:sz w:val="22"/>
        </w:rPr>
        <w:t>(c) 5-fold Stratified CV 평가</w:t>
      </w:r>
    </w:p>
    <w:p>
      <w:pPr>
        <w:spacing w:line="384"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384"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384"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3"/>
        <w:spacing w:line="384" w:lineRule="auto" w:before="240" w:after="120"/>
        <w:jc w:val="left"/>
      </w:pPr>
      <w:r>
        <w:rPr>
          <w:rFonts w:ascii="Times New Roman" w:hAnsi="Times New Roman" w:eastAsia="맑은 고딕"/>
          <w:b/>
          <w:color w:val="000000"/>
          <w:sz w:val="22"/>
        </w:rPr>
        <w:t>3.2.3 모델 해석</w:t>
      </w:r>
    </w:p>
    <w:p>
      <w:pPr>
        <w:spacing w:line="384" w:lineRule="auto" w:before="200" w:after="80"/>
        <w:jc w:val="left"/>
      </w:pPr>
      <w:r>
        <w:rPr>
          <w:rFonts w:ascii="Times New Roman" w:hAnsi="Times New Roman" w:eastAsia="맑은 고딕"/>
          <w:b/>
          <w:sz w:val="22"/>
        </w:rPr>
        <w:t>(a) SHAP local (XGBoost)</w:t>
      </w:r>
    </w:p>
    <w:p>
      <w:pPr>
        <w:spacing w:line="384"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384"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384"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spacing w:line="384" w:lineRule="auto" w:before="200" w:after="80"/>
        <w:jc w:val="left"/>
      </w:pPr>
      <w:r>
        <w:rPr>
          <w:rFonts w:ascii="Times New Roman" w:hAnsi="Times New Roman" w:eastAsia="맑은 고딕"/>
          <w:b/>
          <w:sz w:val="22"/>
        </w:rPr>
        <w:t>(b) TabNet 어텐션 (instance-level)</w:t>
      </w:r>
    </w:p>
    <w:p>
      <w:pPr>
        <w:spacing w:line="384" w:lineRule="auto" w:before="0" w:after="120"/>
        <w:ind w:firstLine="283"/>
        <w:jc w:val="left"/>
      </w:pPr>
      <w:r>
        <w:rPr>
          <w:rFonts w:ascii="Times New Roman" w:hAnsi="Times New Roman" w:eastAsia="맑은 고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384"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spacing w:line="384" w:lineRule="auto" w:before="200" w:after="80"/>
        <w:jc w:val="left"/>
      </w:pPr>
      <w:r>
        <w:rPr>
          <w:rFonts w:ascii="Times New Roman" w:hAnsi="Times New Roman" w:eastAsia="맑은 고딕"/>
          <w:b/>
          <w:sz w:val="22"/>
        </w:rPr>
        <w:t>(c) SHAP × 어텐션 일관성 분석</w:t>
      </w:r>
    </w:p>
    <w:p>
      <w:pPr>
        <w:spacing w:line="384"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384" w:lineRule="auto" w:before="0" w:after="120"/>
        <w:ind w:firstLine="283"/>
        <w:jc w:val="left"/>
      </w:pPr>
      <w:r>
        <w:rPr>
          <w:rFonts w:ascii="Times New Roman" w:hAnsi="Times New Roman" w:eastAsia="맑은 고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3"/>
        <w:spacing w:line="384" w:lineRule="auto" w:before="240" w:after="120"/>
        <w:jc w:val="left"/>
      </w:pPr>
      <w:r>
        <w:rPr>
          <w:rFonts w:ascii="Times New Roman" w:hAnsi="Times New Roman" w:eastAsia="맑은 고딕"/>
          <w:b/>
          <w:color w:val="000000"/>
          <w:sz w:val="22"/>
        </w:rPr>
        <w:t>3.2.4 Agreement-aware Fusion Context (★ 본 연구의 핵심 기여)</w:t>
      </w:r>
    </w:p>
    <w:p>
      <w:pPr>
        <w:spacing w:line="384"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spacing w:line="384" w:lineRule="auto" w:before="200" w:after="80"/>
        <w:jc w:val="left"/>
      </w:pPr>
      <w:r>
        <w:rPr>
          <w:rFonts w:ascii="Times New Roman" w:hAnsi="Times New Roman" w:eastAsia="맑은 고딕"/>
          <w:b/>
          <w:sz w:val="22"/>
        </w:rPr>
        <w:t>(a) 3-그룹 분류</w:t>
      </w:r>
    </w:p>
    <w:p>
      <w:pPr>
        <w:spacing w:line="384" w:lineRule="auto" w:before="0" w:after="120"/>
        <w:ind w:firstLine="283"/>
        <w:jc w:val="left"/>
      </w:pPr>
      <w:r>
        <w:rPr>
          <w:rFonts w:ascii="Times New Roman" w:hAnsi="Times New Roman" w:eastAsia="맑은 고딕"/>
          <w:b w:val="0"/>
          <w:sz w:val="22"/>
        </w:rPr>
        <w:t>각 인스턴스 x 에 대해 SHAP 상위 k 개 변수 집합을 S_shap(x), 어텐션 상위 k 개 변수 집합을 S_att(x) 라 하면, 이 두 집합은 다음 세 그룹으로 분해된다.</w:t>
      </w:r>
    </w:p>
    <w:p>
      <w:pPr>
        <w:spacing w:line="384" w:lineRule="auto" w:before="0" w:after="120"/>
        <w:ind w:firstLine="283"/>
        <w:jc w:val="left"/>
      </w:pPr>
      <w:r>
        <w:rPr>
          <w:rFonts w:ascii="Times New Roman" w:hAnsi="Times New Roman" w:eastAsia="맑은 고딕"/>
          <w:b w:val="0"/>
          <w:sz w:val="22"/>
        </w:rPr>
        <w:t>• agreed: S_shap(x) ∩ S_att(x) (두 집합의 교집합)</w:t>
      </w:r>
    </w:p>
    <w:p>
      <w:pPr>
        <w:spacing w:line="384" w:lineRule="auto" w:before="0" w:after="120"/>
        <w:ind w:firstLine="283"/>
        <w:jc w:val="left"/>
      </w:pPr>
      <w:r>
        <w:rPr>
          <w:rFonts w:ascii="Times New Roman" w:hAnsi="Times New Roman" w:eastAsia="맑은 고딕"/>
          <w:b w:val="0"/>
          <w:sz w:val="22"/>
        </w:rPr>
        <w:t>• shap_only: S_shap(x) − S_att(x) (SHAP에만 속하는 변수)</w:t>
      </w:r>
    </w:p>
    <w:p>
      <w:pPr>
        <w:spacing w:line="384" w:lineRule="auto" w:before="0" w:after="120"/>
        <w:ind w:firstLine="283"/>
        <w:jc w:val="left"/>
      </w:pPr>
      <w:r>
        <w:rPr>
          <w:rFonts w:ascii="Times New Roman" w:hAnsi="Times New Roman" w:eastAsia="맑은 고딕"/>
          <w:b w:val="0"/>
          <w:sz w:val="22"/>
        </w:rPr>
        <w:t>• attention_only: S_att(x) − S_shap(x) (어텐션에만 속하는 변수)</w:t>
      </w:r>
    </w:p>
    <w:p>
      <w:pPr>
        <w:spacing w:line="384"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384"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spacing w:line="384" w:lineRule="auto" w:before="200" w:after="80"/>
        <w:jc w:val="left"/>
      </w:pPr>
      <w:r>
        <w:rPr>
          <w:rFonts w:ascii="Times New Roman" w:hAnsi="Times New Roman" w:eastAsia="맑은 고딕"/>
          <w:b/>
          <w:sz w:val="22"/>
        </w:rPr>
        <w:t>(b) 보호 속성 마스킹</w:t>
      </w:r>
    </w:p>
    <w:p>
      <w:pPr>
        <w:spacing w:line="384"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384" w:lineRule="auto" w:before="0" w:after="120"/>
        <w:ind w:firstLine="283"/>
        <w:jc w:val="left"/>
      </w:pPr>
      <w:r>
        <w:rPr>
          <w:rFonts w:ascii="Times New Roman" w:hAnsi="Times New Roman" w:eastAsia="맑은 고딕"/>
          <w:b w:val="0"/>
          <w:sz w:val="22"/>
        </w:rPr>
        <w:t>• Home Credit: CODE_GENDER, DAYS_BIRTH(연령으로 변환되는 변수)</w:t>
      </w:r>
    </w:p>
    <w:p>
      <w:pPr>
        <w:spacing w:line="384"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384"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spacing w:line="384" w:lineRule="auto" w:before="200" w:after="80"/>
        <w:jc w:val="left"/>
      </w:pPr>
      <w:r>
        <w:rPr>
          <w:rFonts w:ascii="Times New Roman" w:hAnsi="Times New Roman" w:eastAsia="맑은 고딕"/>
          <w:b/>
          <w:sz w:val="22"/>
        </w:rPr>
        <w:t>(c) JSON 컨텍스트 구조</w:t>
      </w:r>
    </w:p>
    <w:p>
      <w:pPr>
        <w:spacing w:line="384"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384"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3"/>
        <w:spacing w:line="384" w:lineRule="auto" w:before="240" w:after="120"/>
        <w:jc w:val="left"/>
      </w:pPr>
      <w:r>
        <w:rPr>
          <w:rFonts w:ascii="Times New Roman" w:hAnsi="Times New Roman" w:eastAsia="맑은 고딕"/>
          <w:b/>
          <w:color w:val="000000"/>
          <w:sz w:val="22"/>
        </w:rPr>
        <w:t>3.2.5 LLM-RAG 자연어 설명 생성</w:t>
      </w:r>
    </w:p>
    <w:p>
      <w:pPr>
        <w:spacing w:line="384" w:lineRule="auto" w:before="200" w:after="80"/>
        <w:jc w:val="left"/>
      </w:pPr>
      <w:r>
        <w:rPr>
          <w:rFonts w:ascii="Times New Roman" w:hAnsi="Times New Roman" w:eastAsia="맑은 고딕"/>
          <w:b/>
          <w:sz w:val="22"/>
        </w:rPr>
        <w:t>(a) 4-mode 컨텍스트 비교</w:t>
      </w:r>
    </w:p>
    <w:p>
      <w:pPr>
        <w:spacing w:line="384"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384"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384"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384"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384"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384"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spacing w:line="384" w:lineRule="auto" w:before="200" w:after="80"/>
        <w:jc w:val="left"/>
      </w:pPr>
      <w:r>
        <w:rPr>
          <w:rFonts w:ascii="Times New Roman" w:hAnsi="Times New Roman" w:eastAsia="맑은 고딕"/>
          <w:b/>
          <w:sz w:val="22"/>
        </w:rPr>
        <w:t>(b) Hard Constraints</w:t>
      </w:r>
    </w:p>
    <w:p>
      <w:pPr>
        <w:spacing w:line="384"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384"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384"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384"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384"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384"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spacing w:line="384" w:lineRule="auto" w:before="200" w:after="80"/>
        <w:jc w:val="left"/>
      </w:pPr>
      <w:r>
        <w:rPr>
          <w:rFonts w:ascii="Times New Roman" w:hAnsi="Times New Roman" w:eastAsia="맑은 고딕"/>
          <w:b/>
          <w:sz w:val="22"/>
        </w:rPr>
        <w:t>(c) LLM 모델 선택</w:t>
      </w:r>
    </w:p>
    <w:p>
      <w:pPr>
        <w:spacing w:line="384"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384"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384"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384"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spacing w:line="384" w:lineRule="auto" w:before="200" w:after="80"/>
        <w:jc w:val="left"/>
      </w:pPr>
      <w:r>
        <w:rPr>
          <w:rFonts w:ascii="Times New Roman" w:hAnsi="Times New Roman" w:eastAsia="맑은 고딕"/>
          <w:b/>
          <w:sz w:val="22"/>
        </w:rPr>
        <w:t>(d) 출력 형식 (5-section)</w:t>
      </w:r>
    </w:p>
    <w:p>
      <w:pPr>
        <w:spacing w:line="384"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384"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384"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384"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384"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384"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384"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pStyle w:val="Heading3"/>
        <w:spacing w:line="384" w:lineRule="auto" w:before="240" w:after="120"/>
        <w:jc w:val="left"/>
      </w:pPr>
      <w:r>
        <w:rPr>
          <w:rFonts w:ascii="Times New Roman" w:hAnsi="Times New Roman" w:eastAsia="맑은 고딕"/>
          <w:b/>
          <w:color w:val="000000"/>
          <w:sz w:val="22"/>
        </w:rPr>
        <w:t>3.2.6 공정성-aware 학습</w:t>
      </w:r>
    </w:p>
    <w:p>
      <w:pPr>
        <w:spacing w:line="384" w:lineRule="auto" w:before="200" w:after="80"/>
        <w:jc w:val="left"/>
      </w:pPr>
      <w:r>
        <w:rPr>
          <w:rFonts w:ascii="Times New Roman" w:hAnsi="Times New Roman" w:eastAsia="맑은 고딕"/>
          <w:b/>
          <w:sz w:val="22"/>
        </w:rPr>
        <w:t>(a) Reweighing (Kamiran-Calders) — 사전 처리</w:t>
      </w:r>
    </w:p>
    <w:p>
      <w:pPr>
        <w:spacing w:line="384"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맑은 고딕"/>
          <w:b w:val="0"/>
          <w:i/>
          <w:sz w:val="22"/>
        </w:rPr>
        <w:t>수식 4-1: w(x) = [P(s = s_x) × P(y = y_x)] / P(s = s_x, y = y_x)</w:t>
      </w:r>
    </w:p>
    <w:p>
      <w:pPr>
        <w:spacing w:line="384"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384"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spacing w:line="384" w:lineRule="auto" w:before="200" w:after="80"/>
        <w:jc w:val="left"/>
      </w:pPr>
      <w:r>
        <w:rPr>
          <w:rFonts w:ascii="Times New Roman" w:hAnsi="Times New Roman" w:eastAsia="맑은 고딕"/>
          <w:b/>
          <w:sz w:val="22"/>
        </w:rPr>
        <w:t>(b) Fairlearn ExpGrad — 도중 처리</w:t>
      </w:r>
    </w:p>
    <w:p>
      <w:pPr>
        <w:spacing w:line="384" w:lineRule="auto" w:before="0" w:after="120"/>
        <w:ind w:firstLine="283"/>
        <w:jc w:val="left"/>
      </w:pPr>
      <w:r>
        <w:rPr>
          <w:rFonts w:ascii="Times New Roman" w:hAnsi="Times New Roman" w:eastAsia="맑은 고딕"/>
          <w:b w:val="0"/>
          <w:sz w:val="22"/>
        </w:rPr>
        <w:t>비교 baseline으로 Microsoft Fairlearn의 Exponentiated Gradient(ExpGrad) 알고리즘 [21]을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384"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384"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pPr>
        <w:spacing w:line="384"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3"/>
        <w:spacing w:line="384" w:lineRule="auto" w:before="240" w:after="120"/>
        <w:jc w:val="left"/>
      </w:pPr>
      <w:r>
        <w:rPr>
          <w:rFonts w:ascii="Times New Roman" w:hAnsi="Times New Roman" w:eastAsia="맑은 고딕"/>
          <w:b/>
          <w:color w:val="000000"/>
          <w:sz w:val="22"/>
        </w:rPr>
        <w:t>3.3.1 모델 성능 지표</w:t>
      </w:r>
    </w:p>
    <w:p>
      <w:pPr>
        <w:spacing w:line="384"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384"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384"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384" w:lineRule="auto" w:before="0" w:after="120"/>
        <w:ind w:firstLine="283"/>
        <w:jc w:val="left"/>
      </w:pPr>
      <w:r>
        <w:rPr>
          <w:rFonts w:ascii="Times New Roman" w:hAnsi="Times New Roman" w:eastAsia="맑은 고딕"/>
          <w:b w:val="0"/>
          <w:sz w:val="22"/>
        </w:rPr>
        <w:t>• KS (Kolmogorov-Smirnov 통계량): KS = max_t |TPR(t) − FPR(t)| 로 정의되며, 신용평가 도메인의 전통 표준 지표이다.</w:t>
      </w:r>
    </w:p>
    <w:p>
      <w:pPr>
        <w:spacing w:line="384"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384"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3"/>
        <w:spacing w:line="384" w:lineRule="auto" w:before="240" w:after="120"/>
        <w:jc w:val="left"/>
      </w:pPr>
      <w:r>
        <w:rPr>
          <w:rFonts w:ascii="Times New Roman" w:hAnsi="Times New Roman" w:eastAsia="맑은 고딕"/>
          <w:b/>
          <w:color w:val="000000"/>
          <w:sz w:val="22"/>
        </w:rPr>
        <w:t>3.3.2 룰 기반 평가</w:t>
      </w:r>
    </w:p>
    <w:p>
      <w:pPr>
        <w:spacing w:line="384" w:lineRule="auto" w:before="200" w:after="80"/>
        <w:jc w:val="left"/>
      </w:pPr>
      <w:r>
        <w:rPr>
          <w:rFonts w:ascii="Times New Roman" w:hAnsi="Times New Roman" w:eastAsia="맑은 고딕"/>
          <w:b/>
          <w:sz w:val="22"/>
        </w:rPr>
        <w:t>(a) Faithfulness Score (충실성 점수)</w:t>
      </w:r>
    </w:p>
    <w:p>
      <w:pPr>
        <w:spacing w:line="384"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384"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384"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384"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384"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384"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spacing w:line="384" w:lineRule="auto" w:before="200" w:after="80"/>
        <w:jc w:val="left"/>
      </w:pPr>
      <w:r>
        <w:rPr>
          <w:rFonts w:ascii="Times New Roman" w:hAnsi="Times New Roman" w:eastAsia="맑은 고딕"/>
          <w:b/>
          <w:sz w:val="22"/>
        </w:rPr>
        <w:t>(b) Hallucination Rate (환각률)</w:t>
      </w:r>
    </w:p>
    <w:p>
      <w:pPr>
        <w:spacing w:line="384"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384"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384"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384"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384"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pStyle w:val="Heading3"/>
        <w:spacing w:line="384" w:lineRule="auto" w:before="240" w:after="120"/>
        <w:jc w:val="left"/>
      </w:pPr>
      <w:r>
        <w:rPr>
          <w:rFonts w:ascii="Times New Roman" w:hAnsi="Times New Roman" w:eastAsia="맑은 고딕"/>
          <w:b/>
          <w:color w:val="000000"/>
          <w:sz w:val="22"/>
        </w:rPr>
        <w:t>3.3.3 NLI 기반 의미적 충실성 평가</w:t>
      </w:r>
    </w:p>
    <w:p>
      <w:pPr>
        <w:spacing w:line="384" w:lineRule="auto" w:before="200" w:after="80"/>
        <w:jc w:val="left"/>
      </w:pPr>
      <w:r>
        <w:rPr>
          <w:rFonts w:ascii="Times New Roman" w:hAnsi="Times New Roman" w:eastAsia="맑은 고딕"/>
          <w:b/>
          <w:sz w:val="22"/>
        </w:rPr>
        <w:t>(a) mDeBERTa 다국어 NLI 모델</w:t>
      </w:r>
    </w:p>
    <w:p>
      <w:pPr>
        <w:spacing w:line="384" w:lineRule="auto" w:before="0" w:after="120"/>
        <w:ind w:firstLine="283"/>
        <w:jc w:val="left"/>
      </w:pPr>
      <w:r>
        <w:rPr>
          <w:rFonts w:ascii="Times New Roman" w:hAnsi="Times New Roman" w:eastAsia="맑은 고딕"/>
          <w:b w:val="0"/>
          <w:sz w:val="22"/>
        </w:rPr>
        <w:t>본 연구는 NLI 평가용 모델로 MoritzLaurer/mDeBERTa-v3-base-xnli-multilingual-nli-2mil7 [23]을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384"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spacing w:line="384" w:lineRule="auto" w:before="200" w:after="80"/>
        <w:jc w:val="left"/>
      </w:pPr>
      <w:r>
        <w:rPr>
          <w:rFonts w:ascii="Times New Roman" w:hAnsi="Times New Roman" w:eastAsia="맑은 고딕"/>
          <w:b/>
          <w:sz w:val="22"/>
        </w:rPr>
        <w:t>(b) 컨텍스트 → premise 자연어 변환</w:t>
      </w:r>
    </w:p>
    <w:p>
      <w:pPr>
        <w:spacing w:line="384"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384"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384"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spacing w:line="384" w:lineRule="auto" w:before="200" w:after="80"/>
        <w:jc w:val="left"/>
      </w:pPr>
      <w:r>
        <w:rPr>
          <w:rFonts w:ascii="Times New Roman" w:hAnsi="Times New Roman" w:eastAsia="맑은 고딕"/>
          <w:b/>
          <w:sz w:val="22"/>
        </w:rPr>
        <w:t>(c) 평가 지표</w:t>
      </w:r>
    </w:p>
    <w:p>
      <w:pPr>
        <w:spacing w:line="384"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384" w:lineRule="auto" w:before="0" w:after="120"/>
        <w:ind w:firstLine="283"/>
        <w:jc w:val="left"/>
      </w:pPr>
      <w:r>
        <w:rPr>
          <w:rFonts w:ascii="Times New Roman" w:hAnsi="Times New Roman" w:eastAsia="맑은 고딕"/>
          <w:b w:val="0"/>
          <w:sz w:val="22"/>
        </w:rPr>
        <w:t>• entailment_rate: 문장별 함의 확률의 평균</w:t>
      </w:r>
    </w:p>
    <w:p>
      <w:pPr>
        <w:spacing w:line="384" w:lineRule="auto" w:before="0" w:after="120"/>
        <w:ind w:firstLine="283"/>
        <w:jc w:val="left"/>
      </w:pPr>
      <w:r>
        <w:rPr>
          <w:rFonts w:ascii="Times New Roman" w:hAnsi="Times New Roman" w:eastAsia="맑은 고딕"/>
          <w:b w:val="0"/>
          <w:sz w:val="22"/>
        </w:rPr>
        <w:t>• contradiction_rate: 모순 확률의 평균</w:t>
      </w:r>
    </w:p>
    <w:p>
      <w:pPr>
        <w:spacing w:line="384" w:lineRule="auto" w:before="0" w:after="120"/>
        <w:ind w:firstLine="283"/>
        <w:jc w:val="left"/>
      </w:pPr>
      <w:r>
        <w:rPr>
          <w:rFonts w:ascii="Times New Roman" w:hAnsi="Times New Roman" w:eastAsia="맑은 고딕"/>
          <w:b w:val="0"/>
          <w:sz w:val="22"/>
        </w:rPr>
        <w:t>• min_entailment: 최악 문장의 함의 확률 (worst-case)</w:t>
      </w:r>
    </w:p>
    <w:p>
      <w:pPr>
        <w:spacing w:line="384" w:lineRule="auto" w:before="0" w:after="120"/>
        <w:ind w:firstLine="283"/>
        <w:jc w:val="left"/>
      </w:pPr>
      <w:r>
        <w:rPr>
          <w:rFonts w:ascii="Times New Roman" w:hAnsi="Times New Roman" w:eastAsia="맑은 고딕"/>
          <w:b w:val="0"/>
          <w:sz w:val="22"/>
        </w:rPr>
        <w:t>• n_strong_entailment: 함의 확률 &gt; 0.5인 문장의 개수</w:t>
      </w:r>
    </w:p>
    <w:p>
      <w:pPr>
        <w:spacing w:line="384"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3"/>
        <w:spacing w:line="384" w:lineRule="auto" w:before="240" w:after="120"/>
        <w:jc w:val="left"/>
      </w:pPr>
      <w:r>
        <w:rPr>
          <w:rFonts w:ascii="Times New Roman" w:hAnsi="Times New Roman" w:eastAsia="맑은 고딕"/>
          <w:b/>
          <w:color w:val="000000"/>
          <w:sz w:val="22"/>
        </w:rPr>
        <w:t>3.3.4 G-Eval (LLM-as-a-Judge)</w:t>
      </w:r>
    </w:p>
    <w:p>
      <w:pPr>
        <w:spacing w:line="384" w:lineRule="auto" w:before="200" w:after="80"/>
        <w:jc w:val="left"/>
      </w:pPr>
      <w:r>
        <w:rPr>
          <w:rFonts w:ascii="Times New Roman" w:hAnsi="Times New Roman" w:eastAsia="맑은 고딕"/>
          <w:b/>
          <w:sz w:val="22"/>
        </w:rPr>
        <w:t>(a) 4차원 척도</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다차원 척도로 점수화하는 프레임워크이다. 본 연구는 신용평가 도메인에 맞춰 4가지 척도를 1~5점 정수 척도로 정의한다.</w:t>
      </w:r>
    </w:p>
    <w:p>
      <w:pPr>
        <w:spacing w:line="384"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384"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384"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384"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384"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spacing w:line="384" w:lineRule="auto" w:before="200" w:after="80"/>
        <w:jc w:val="left"/>
      </w:pPr>
      <w:r>
        <w:rPr>
          <w:rFonts w:ascii="Times New Roman" w:hAnsi="Times New Roman" w:eastAsia="맑은 고딕"/>
          <w:b/>
          <w:sz w:val="22"/>
        </w:rPr>
        <w:t>(b) Cross-Judge 평가</w:t>
      </w:r>
    </w:p>
    <w:p>
      <w:pPr>
        <w:spacing w:line="384"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384"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3"/>
        <w:spacing w:line="384" w:lineRule="auto" w:before="240" w:after="120"/>
        <w:jc w:val="left"/>
      </w:pPr>
      <w:r>
        <w:rPr>
          <w:rFonts w:ascii="Times New Roman" w:hAnsi="Times New Roman" w:eastAsia="맑은 고딕"/>
          <w:b/>
          <w:color w:val="000000"/>
          <w:sz w:val="22"/>
        </w:rPr>
        <w:t>3.3.5 Pilot Human-Proxy 평가</w:t>
      </w:r>
    </w:p>
    <w:p>
      <w:pPr>
        <w:spacing w:line="384" w:lineRule="auto" w:before="200" w:after="80"/>
        <w:jc w:val="left"/>
      </w:pPr>
      <w:r>
        <w:rPr>
          <w:rFonts w:ascii="Times New Roman" w:hAnsi="Times New Roman" w:eastAsia="맑은 고딕"/>
          <w:b/>
          <w:sz w:val="22"/>
        </w:rPr>
        <w:t>(a) 동기와 한계</w:t>
      </w:r>
    </w:p>
    <w:p>
      <w:pPr>
        <w:spacing w:line="384"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384"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spacing w:line="384" w:lineRule="auto" w:before="200" w:after="80"/>
        <w:jc w:val="left"/>
      </w:pPr>
      <w:r>
        <w:rPr>
          <w:rFonts w:ascii="Times New Roman" w:hAnsi="Times New Roman" w:eastAsia="맑은 고딕"/>
          <w:b/>
          <w:sz w:val="22"/>
        </w:rPr>
        <w:t>(b) 3 Personas와 3 Metrics</w:t>
      </w:r>
    </w:p>
    <w:p>
      <w:pPr>
        <w:spacing w:line="384" w:lineRule="auto" w:before="0" w:after="120"/>
        <w:ind w:firstLine="283"/>
        <w:jc w:val="left"/>
      </w:pPr>
      <w:r>
        <w:rPr>
          <w:rFonts w:ascii="Times New Roman" w:hAnsi="Times New Roman" w:eastAsia="맑은 고딕"/>
          <w:b w:val="0"/>
          <w:sz w:val="22"/>
        </w:rPr>
        <w:t>본 연구는 3개의 페르소나를 다음과 같이 정의한다.</w:t>
      </w:r>
    </w:p>
    <w:p>
      <w:pPr>
        <w:spacing w:line="384"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384"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384"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384" w:lineRule="auto" w:before="0" w:after="120"/>
        <w:ind w:firstLine="283"/>
        <w:jc w:val="left"/>
      </w:pPr>
      <w:r>
        <w:rPr>
          <w:rFonts w:ascii="Times New Roman" w:hAnsi="Times New Roman" w:eastAsia="맑은 고딕"/>
          <w:b w:val="0"/>
          <w:sz w:val="22"/>
        </w:rPr>
        <w:t>각 페르소나는 다음 3가지 척도(1~5점)로 평가한다.</w:t>
      </w:r>
    </w:p>
    <w:p>
      <w:pPr>
        <w:spacing w:line="384"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384" w:lineRule="auto" w:before="0" w:after="120"/>
        <w:ind w:firstLine="283"/>
        <w:jc w:val="left"/>
      </w:pPr>
      <w:r>
        <w:rPr>
          <w:rFonts w:ascii="Times New Roman" w:hAnsi="Times New Roman" w:eastAsia="맑은 고딕"/>
          <w:b w:val="0"/>
          <w:sz w:val="22"/>
        </w:rPr>
        <w:t>• clarity: 설명을 얼마나 명료하게 이해할 수 있는가</w:t>
      </w:r>
    </w:p>
    <w:p>
      <w:pPr>
        <w:spacing w:line="384"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384"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384"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3"/>
        <w:spacing w:line="384" w:lineRule="auto" w:before="240" w:after="120"/>
        <w:jc w:val="left"/>
      </w:pPr>
      <w:r>
        <w:rPr>
          <w:rFonts w:ascii="Times New Roman" w:hAnsi="Times New Roman" w:eastAsia="맑은 고딕"/>
          <w:b/>
          <w:color w:val="000000"/>
          <w:sz w:val="22"/>
        </w:rPr>
        <w:t>3.3.6 공정성 평가</w:t>
      </w:r>
    </w:p>
    <w:p>
      <w:pPr>
        <w:spacing w:line="384"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spacing w:line="384" w:lineRule="auto" w:before="200" w:after="80"/>
        <w:jc w:val="left"/>
      </w:pPr>
      <w:r>
        <w:rPr>
          <w:rFonts w:ascii="Times New Roman" w:hAnsi="Times New Roman" w:eastAsia="맑은 고딕"/>
          <w:b/>
          <w:sz w:val="22"/>
        </w:rPr>
        <w:t>(a) Demographic Parity (DP) 차이</w:t>
      </w:r>
    </w:p>
    <w:p>
      <w:pPr>
        <w:spacing w:line="384"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360" w:lineRule="auto" w:before="120" w:after="120"/>
        <w:jc w:val="center"/>
      </w:pPr>
      <w:r>
        <w:rPr>
          <w:rFonts w:ascii="Times New Roman" w:hAnsi="Times New Roman" w:eastAsia="맑은 고딕"/>
          <w:b w:val="0"/>
          <w:i/>
          <w:sz w:val="22"/>
        </w:rPr>
        <w:t>수식 5-1: DP_diff = | P(ŷ=1 | s=0) − P(ŷ=1 | s=1) |</w:t>
      </w:r>
    </w:p>
    <w:p>
      <w:pPr>
        <w:spacing w:line="384"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spacing w:line="384" w:lineRule="auto" w:before="200" w:after="80"/>
        <w:jc w:val="left"/>
      </w:pPr>
      <w:r>
        <w:rPr>
          <w:rFonts w:ascii="Times New Roman" w:hAnsi="Times New Roman" w:eastAsia="맑은 고딕"/>
          <w:b/>
          <w:sz w:val="22"/>
        </w:rPr>
        <w:t>(b) Equal Opportunity (EO) 차이</w:t>
      </w:r>
    </w:p>
    <w:p>
      <w:pPr>
        <w:spacing w:line="384"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맑은 고딕"/>
          <w:b w:val="0"/>
          <w:i/>
          <w:sz w:val="22"/>
        </w:rPr>
        <w:t>수식 5-2: EO_diff = | TPR(s=0) − TPR(s=1) |</w:t>
      </w:r>
    </w:p>
    <w:p>
      <w:pPr>
        <w:spacing w:line="384"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spacing w:line="384" w:lineRule="auto" w:before="200" w:after="80"/>
        <w:jc w:val="left"/>
      </w:pPr>
      <w:r>
        <w:rPr>
          <w:rFonts w:ascii="Times New Roman" w:hAnsi="Times New Roman" w:eastAsia="맑은 고딕"/>
          <w:b/>
          <w:sz w:val="22"/>
        </w:rPr>
        <w:t>(c) Disparate Impact ratio (DI ratio)</w:t>
      </w:r>
    </w:p>
    <w:p>
      <w:pPr>
        <w:spacing w:line="384" w:lineRule="auto" w:before="0" w:after="120"/>
        <w:ind w:firstLine="283"/>
        <w:jc w:val="left"/>
      </w:pPr>
      <w:r>
        <w:rPr>
          <w:rFonts w:ascii="Times New Roman" w:hAnsi="Times New Roman" w:eastAsia="맑은 고딕"/>
          <w:b w:val="0"/>
          <w:sz w:val="22"/>
        </w:rPr>
        <w:t>Disparate Impact ratio는 EEOC의 4/5 규칙 [19]에 직접 대응하는 지표이다.</w:t>
      </w:r>
    </w:p>
    <w:p>
      <w:pPr>
        <w:spacing w:line="360" w:lineRule="auto" w:before="120" w:after="120"/>
        <w:jc w:val="center"/>
      </w:pPr>
      <w:r>
        <w:rPr>
          <w:rFonts w:ascii="Times New Roman" w:hAnsi="Times New Roman" w:eastAsia="맑은 고딕"/>
          <w:b w:val="0"/>
          <w:i/>
          <w:sz w:val="22"/>
        </w:rPr>
        <w:t>수식 5-3: DI_ratio = min[ P(ŷ=1|s=0), P(ŷ=1|s=1) ] / max[ P(ŷ=1|s=0), P(ŷ=1|s=1) ]</w:t>
      </w:r>
    </w:p>
    <w:p>
      <w:pPr>
        <w:spacing w:line="384"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3"/>
        <w:spacing w:line="384" w:lineRule="auto" w:before="240" w:after="120"/>
        <w:jc w:val="left"/>
      </w:pPr>
      <w:r>
        <w:rPr>
          <w:rFonts w:ascii="Times New Roman" w:hAnsi="Times New Roman" w:eastAsia="맑은 고딕"/>
          <w:b/>
          <w:color w:val="000000"/>
          <w:sz w:val="22"/>
        </w:rPr>
        <w:t>3.3.7 평가 프레임워크 통합</w:t>
      </w:r>
    </w:p>
    <w:p>
      <w:pPr>
        <w:spacing w:line="384"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384"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384"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384" w:lineRule="auto" w:before="480" w:after="360"/>
        <w:jc w:val="center"/>
      </w:pPr>
      <w:r>
        <w:rPr>
          <w:rFonts w:ascii="Times New Roman" w:hAnsi="Times New Roman" w:eastAsia="맑은 고딕"/>
          <w:b/>
          <w:color w:val="000000"/>
          <w:sz w:val="32"/>
        </w:rPr>
        <w:t>제 4 장. 분석 결과</w:t>
      </w:r>
    </w:p>
    <w:p>
      <w:pPr>
        <w:spacing w:line="384"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384" w:lineRule="auto" w:before="360" w:after="240"/>
        <w:jc w:val="left"/>
      </w:pPr>
      <w:r>
        <w:rPr>
          <w:rFonts w:ascii="Times New Roman" w:hAnsi="Times New Roman" w:eastAsia="맑은 고딕"/>
          <w:b/>
          <w:color w:val="000000"/>
          <w:sz w:val="26"/>
        </w:rPr>
        <w:t>4.1 모델 성능 비교</w:t>
      </w:r>
    </w:p>
    <w:p>
      <w:pPr>
        <w:pStyle w:val="Heading3"/>
        <w:spacing w:line="384" w:lineRule="auto" w:before="240" w:after="120"/>
        <w:jc w:val="left"/>
      </w:pPr>
      <w:r>
        <w:rPr>
          <w:rFonts w:ascii="Times New Roman" w:hAnsi="Times New Roman" w:eastAsia="맑은 고딕"/>
          <w:b/>
          <w:color w:val="000000"/>
          <w:sz w:val="22"/>
        </w:rPr>
        <w:t>4.1.1 Home Credit Default Risk 5-fold CV 결과</w:t>
      </w:r>
    </w:p>
    <w:p>
      <w:pPr>
        <w:spacing w:line="384"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4-1과 같다. 모든 모델은 동일한 학습/검증 분할에 대해 학습되었으며, 검증 셋에서 결정된 임계값을 테스트 셋에 적용하여 평가하였다.</w:t>
      </w:r>
    </w:p>
    <w:p>
      <w:pPr>
        <w:spacing w:line="384" w:lineRule="auto" w:before="0" w:after="120"/>
        <w:ind w:firstLine="283"/>
        <w:jc w:val="left"/>
      </w:pPr>
      <w:r>
        <w:rPr>
          <w:rFonts w:ascii="Times New Roman" w:hAnsi="Times New Roman" w:eastAsia="맑은 고딕"/>
          <w:b w:val="0"/>
          <w:sz w:val="22"/>
        </w:rPr>
        <w:t>표 4-1.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384"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384"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384" w:lineRule="auto" w:before="240" w:after="120"/>
        <w:jc w:val="left"/>
      </w:pPr>
      <w:r>
        <w:rPr>
          <w:rFonts w:ascii="Times New Roman" w:hAnsi="Times New Roman" w:eastAsia="맑은 고딕"/>
          <w:b/>
          <w:color w:val="000000"/>
          <w:sz w:val="22"/>
        </w:rPr>
        <w:t>4.1.2 보조 테이블 추가 효과</w:t>
      </w:r>
    </w:p>
    <w:p>
      <w:pPr>
        <w:spacing w:line="384"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384"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384" w:lineRule="auto" w:before="240" w:after="120"/>
        <w:jc w:val="left"/>
      </w:pPr>
      <w:r>
        <w:rPr>
          <w:rFonts w:ascii="Times New Roman" w:hAnsi="Times New Roman" w:eastAsia="맑은 고딕"/>
          <w:b/>
          <w:color w:val="000000"/>
          <w:sz w:val="22"/>
        </w:rPr>
        <w:t>4.1.3 UCI German Credit 5-fold CV 결과</w:t>
      </w:r>
    </w:p>
    <w:p>
      <w:pPr>
        <w:spacing w:line="384" w:lineRule="auto" w:before="0" w:after="120"/>
        <w:ind w:firstLine="283"/>
        <w:jc w:val="left"/>
      </w:pPr>
      <w:r>
        <w:rPr>
          <w:rFonts w:ascii="Times New Roman" w:hAnsi="Times New Roman" w:eastAsia="맑은 고딕"/>
          <w:b w:val="0"/>
          <w:sz w:val="22"/>
        </w:rPr>
        <w:t>UCI German Credit 데이터셋에서의 5-fold CV 결과는 표 4-2와 같다.</w:t>
      </w:r>
    </w:p>
    <w:p>
      <w:pPr>
        <w:spacing w:line="384" w:lineRule="auto" w:before="0" w:after="120"/>
        <w:ind w:firstLine="283"/>
        <w:jc w:val="left"/>
      </w:pPr>
      <w:r>
        <w:rPr>
          <w:rFonts w:ascii="Times New Roman" w:hAnsi="Times New Roman" w:eastAsia="맑은 고딕"/>
          <w:b w:val="0"/>
          <w:sz w:val="22"/>
        </w:rPr>
        <w:t>표 4-2.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384"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384"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3"/>
        <w:spacing w:line="384" w:lineRule="auto" w:before="240" w:after="120"/>
        <w:jc w:val="left"/>
      </w:pPr>
      <w:r>
        <w:rPr>
          <w:rFonts w:ascii="Times New Roman" w:hAnsi="Times New Roman" w:eastAsia="맑은 고딕"/>
          <w:b/>
          <w:color w:val="000000"/>
          <w:sz w:val="22"/>
        </w:rPr>
        <w:t>4.1.4 신용평가 산업 벤치마크 및 실무 수준 평가</w:t>
      </w:r>
    </w:p>
    <w:p>
      <w:pPr>
        <w:spacing w:line="384" w:lineRule="auto" w:before="0" w:after="120"/>
        <w:ind w:firstLine="283"/>
        <w:jc w:val="left"/>
      </w:pPr>
      <w:r>
        <w:rPr>
          <w:rFonts w:ascii="Times New Roman" w:hAnsi="Times New Roman" w:eastAsia="맑은 고딕"/>
          <w:b w:val="0"/>
          <w:sz w:val="22"/>
        </w:rPr>
        <w:t>본 절은 본 연구가 도출한 XGBoost AUROC 약 0.76 수준의 예측 성능을 신용평가 산업의 일반 벤치마크와 비교하여, 실무 도입 가능성과 한계를 정량적으로 평가한다. 이는 본 연구의 학술적 contribution이 예측 정확도 최고치 갱신 이 아니라 XAI·LLM RAG·공정성 보정의 통합 시스템 구축 임을 명확히 하면서, 동시에 본 시스템의 baseline 예측 모델이 실무 적용 가능한 수준임을 입증하기 위한 절이다.</w:t>
      </w:r>
    </w:p>
    <w:p>
      <w:pPr>
        <w:spacing w:line="384" w:lineRule="auto" w:before="200" w:after="80"/>
        <w:jc w:val="left"/>
      </w:pPr>
      <w:r>
        <w:rPr>
          <w:rFonts w:ascii="Times New Roman" w:hAnsi="Times New Roman" w:eastAsia="맑은 고딕"/>
          <w:b/>
          <w:sz w:val="22"/>
        </w:rPr>
        <w:t>신용평가 도메인 AUROC 기준</w:t>
      </w:r>
    </w:p>
    <w:p>
      <w:pPr>
        <w:spacing w:line="384" w:lineRule="auto" w:before="0" w:after="120"/>
        <w:ind w:firstLine="283"/>
        <w:jc w:val="left"/>
      </w:pPr>
      <w:r>
        <w:rPr>
          <w:rFonts w:ascii="Times New Roman" w:hAnsi="Times New Roman" w:eastAsia="맑은 고딕"/>
          <w:b w:val="0"/>
          <w:sz w:val="22"/>
        </w:rPr>
        <w:t>Lessmann 등 [13]이 41개 분류 모델을 8개의 신용평가 데이터셋에서 비교 평가한 대규모 벤치마크 연구에 따르면, 신용평가 분야의 AUROC는 다음과 같이 분류된다. 표 4-X는 본 연구가 채택한 산업 표준 기준이다.</w:t>
      </w:r>
    </w:p>
    <w:p>
      <w:pPr>
        <w:spacing w:line="384" w:lineRule="auto" w:before="0" w:after="120"/>
        <w:ind w:firstLine="283"/>
        <w:jc w:val="left"/>
      </w:pPr>
      <w:r>
        <w:rPr>
          <w:rFonts w:ascii="Times New Roman" w:hAnsi="Times New Roman" w:eastAsia="맑은 고딕"/>
          <w:b w:val="0"/>
          <w:sz w:val="22"/>
        </w:rPr>
        <w:t>표 4-X. 신용평가 도메인 AUROC 분류 기준 (Lessmann et al., 2015 [13])</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AUROC 범위</w:t>
            </w:r>
          </w:p>
        </w:tc>
        <w:tc>
          <w:tcPr>
            <w:tcW w:type="dxa" w:w="3041"/>
          </w:tcPr>
          <w:p>
            <w:r>
              <w:rPr>
                <w:rFonts w:ascii="Times New Roman" w:hAnsi="Times New Roman" w:eastAsia="맑은 고딕"/>
                <w:b/>
                <w:sz w:val="20"/>
              </w:rPr>
              <w:t>평가 등급</w:t>
            </w:r>
          </w:p>
        </w:tc>
        <w:tc>
          <w:tcPr>
            <w:tcW w:type="dxa" w:w="3041"/>
          </w:tcPr>
          <w:p>
            <w:r>
              <w:rPr>
                <w:rFonts w:ascii="Times New Roman" w:hAnsi="Times New Roman" w:eastAsia="맑은 고딕"/>
                <w:b/>
                <w:sz w:val="20"/>
              </w:rPr>
              <w:t>실무 적용</w:t>
            </w:r>
          </w:p>
        </w:tc>
      </w:tr>
      <w:tr>
        <w:tc>
          <w:tcPr>
            <w:tcW w:type="dxa" w:w="3041"/>
          </w:tcPr>
          <w:p>
            <w:r>
              <w:rPr>
                <w:rFonts w:ascii="Times New Roman" w:hAnsi="Times New Roman" w:eastAsia="맑은 고딕"/>
                <w:b w:val="0"/>
                <w:sz w:val="20"/>
              </w:rPr>
              <w:t>&lt; 0.65</w:t>
            </w:r>
          </w:p>
        </w:tc>
        <w:tc>
          <w:tcPr>
            <w:tcW w:type="dxa" w:w="3041"/>
          </w:tcPr>
          <w:p>
            <w:r>
              <w:rPr>
                <w:rFonts w:ascii="Times New Roman" w:hAnsi="Times New Roman" w:eastAsia="맑은 고딕"/>
                <w:b w:val="0"/>
                <w:sz w:val="20"/>
              </w:rPr>
              <w:t>부적합</w:t>
            </w:r>
          </w:p>
        </w:tc>
        <w:tc>
          <w:tcPr>
            <w:tcW w:type="dxa" w:w="3041"/>
          </w:tcPr>
          <w:p>
            <w:r>
              <w:rPr>
                <w:rFonts w:ascii="Times New Roman" w:hAnsi="Times New Roman" w:eastAsia="맑은 고딕"/>
                <w:b w:val="0"/>
                <w:sz w:val="20"/>
              </w:rPr>
              <w:t>사용 불가</w:t>
            </w:r>
          </w:p>
        </w:tc>
      </w:tr>
      <w:tr>
        <w:tc>
          <w:tcPr>
            <w:tcW w:type="dxa" w:w="3041"/>
          </w:tcPr>
          <w:p>
            <w:r>
              <w:rPr>
                <w:rFonts w:ascii="Times New Roman" w:hAnsi="Times New Roman" w:eastAsia="맑은 고딕"/>
                <w:b w:val="0"/>
                <w:sz w:val="20"/>
              </w:rPr>
              <w:t>0.65 ~ 0.70</w:t>
            </w:r>
          </w:p>
        </w:tc>
        <w:tc>
          <w:tcPr>
            <w:tcW w:type="dxa" w:w="3041"/>
          </w:tcPr>
          <w:p>
            <w:r>
              <w:rPr>
                <w:rFonts w:ascii="Times New Roman" w:hAnsi="Times New Roman" w:eastAsia="맑은 고딕"/>
                <w:b w:val="0"/>
                <w:sz w:val="20"/>
              </w:rPr>
              <w:t>한계적</w:t>
            </w:r>
          </w:p>
        </w:tc>
        <w:tc>
          <w:tcPr>
            <w:tcW w:type="dxa" w:w="3041"/>
          </w:tcPr>
          <w:p>
            <w:r>
              <w:rPr>
                <w:rFonts w:ascii="Times New Roman" w:hAnsi="Times New Roman" w:eastAsia="맑은 고딕"/>
                <w:b w:val="0"/>
                <w:sz w:val="20"/>
              </w:rPr>
              <w:t>보조 모델로만 활용</w:t>
            </w:r>
          </w:p>
        </w:tc>
      </w:tr>
      <w:tr>
        <w:tc>
          <w:tcPr>
            <w:tcW w:type="dxa" w:w="3041"/>
          </w:tcPr>
          <w:p>
            <w:r>
              <w:rPr>
                <w:rFonts w:ascii="Times New Roman" w:hAnsi="Times New Roman" w:eastAsia="맑은 고딕"/>
                <w:b w:val="0"/>
                <w:sz w:val="20"/>
              </w:rPr>
              <w:t>**0.70 ~ 0.80**</w:t>
            </w:r>
          </w:p>
        </w:tc>
        <w:tc>
          <w:tcPr>
            <w:tcW w:type="dxa" w:w="3041"/>
          </w:tcPr>
          <w:p>
            <w:r>
              <w:rPr>
                <w:rFonts w:ascii="Times New Roman" w:hAnsi="Times New Roman" w:eastAsia="맑은 고딕"/>
                <w:b w:val="0"/>
                <w:sz w:val="20"/>
              </w:rPr>
              <w:t>**수용 가능 (mainstream)**</w:t>
            </w:r>
          </w:p>
        </w:tc>
        <w:tc>
          <w:tcPr>
            <w:tcW w:type="dxa" w:w="3041"/>
          </w:tcPr>
          <w:p>
            <w:r>
              <w:rPr>
                <w:rFonts w:ascii="Times New Roman" w:hAnsi="Times New Roman" w:eastAsia="맑은 고딕"/>
                <w:b w:val="0"/>
                <w:sz w:val="20"/>
              </w:rPr>
              <w:t>**★ 본 연구가 위치하는 범위**</w:t>
            </w:r>
          </w:p>
        </w:tc>
      </w:tr>
      <w:tr>
        <w:tc>
          <w:tcPr>
            <w:tcW w:type="dxa" w:w="3041"/>
          </w:tcPr>
          <w:p>
            <w:r>
              <w:rPr>
                <w:rFonts w:ascii="Times New Roman" w:hAnsi="Times New Roman" w:eastAsia="맑은 고딕"/>
                <w:b w:val="0"/>
                <w:sz w:val="20"/>
              </w:rPr>
              <w:t>0.80 ~ 0.85</w:t>
            </w:r>
          </w:p>
        </w:tc>
        <w:tc>
          <w:tcPr>
            <w:tcW w:type="dxa" w:w="3041"/>
          </w:tcPr>
          <w:p>
            <w:r>
              <w:rPr>
                <w:rFonts w:ascii="Times New Roman" w:hAnsi="Times New Roman" w:eastAsia="맑은 고딕"/>
                <w:b w:val="0"/>
                <w:sz w:val="20"/>
              </w:rPr>
              <w:t>우수</w:t>
            </w:r>
          </w:p>
        </w:tc>
        <w:tc>
          <w:tcPr>
            <w:tcW w:type="dxa" w:w="3041"/>
          </w:tcPr>
          <w:p>
            <w:r>
              <w:rPr>
                <w:rFonts w:ascii="Times New Roman" w:hAnsi="Times New Roman" w:eastAsia="맑은 고딕"/>
                <w:b w:val="0"/>
                <w:sz w:val="20"/>
              </w:rPr>
              <w:t>대부분 은행 표준</w:t>
            </w:r>
          </w:p>
        </w:tc>
      </w:tr>
      <w:tr>
        <w:tc>
          <w:tcPr>
            <w:tcW w:type="dxa" w:w="3041"/>
          </w:tcPr>
          <w:p>
            <w:r>
              <w:rPr>
                <w:rFonts w:ascii="Times New Roman" w:hAnsi="Times New Roman" w:eastAsia="맑은 고딕"/>
                <w:b w:val="0"/>
                <w:sz w:val="20"/>
              </w:rPr>
              <w:t>≥ 0.85</w:t>
            </w:r>
          </w:p>
        </w:tc>
        <w:tc>
          <w:tcPr>
            <w:tcW w:type="dxa" w:w="3041"/>
          </w:tcPr>
          <w:p>
            <w:r>
              <w:rPr>
                <w:rFonts w:ascii="Times New Roman" w:hAnsi="Times New Roman" w:eastAsia="맑은 고딕"/>
                <w:b w:val="0"/>
                <w:sz w:val="20"/>
              </w:rPr>
              <w:t>매우 우수</w:t>
            </w:r>
          </w:p>
        </w:tc>
        <w:tc>
          <w:tcPr>
            <w:tcW w:type="dxa" w:w="3041"/>
          </w:tcPr>
          <w:p>
            <w:r>
              <w:rPr>
                <w:rFonts w:ascii="Times New Roman" w:hAnsi="Times New Roman" w:eastAsia="맑은 고딕"/>
                <w:b w:val="0"/>
                <w:sz w:val="20"/>
              </w:rPr>
              <w:t>최상위 데이터셋 한정</w:t>
            </w:r>
          </w:p>
        </w:tc>
      </w:tr>
    </w:tbl>
    <w:p>
      <w:pPr>
        <w:spacing w:line="384" w:lineRule="auto" w:before="0" w:after="120"/>
        <w:ind w:firstLine="283"/>
        <w:jc w:val="left"/>
      </w:pPr>
      <w:r>
        <w:rPr>
          <w:rFonts w:ascii="Times New Roman" w:hAnsi="Times New Roman" w:eastAsia="맑은 고딕"/>
          <w:b w:val="0"/>
          <w:sz w:val="22"/>
        </w:rPr>
        <w:t>KS 통계량은 신용평가 도메인의 전통 표준 지표로, 일반적으로 KS &gt; 0.3을 실무 수용 가능, KS &gt; 0.4를 양호, KS &gt; 0.5를 우수 로 분류한다.</w:t>
      </w:r>
    </w:p>
    <w:p>
      <w:pPr>
        <w:spacing w:line="384" w:lineRule="auto" w:before="200" w:after="80"/>
        <w:jc w:val="left"/>
      </w:pPr>
      <w:r>
        <w:rPr>
          <w:rFonts w:ascii="Times New Roman" w:hAnsi="Times New Roman" w:eastAsia="맑은 고딕"/>
          <w:b/>
          <w:sz w:val="22"/>
        </w:rPr>
        <w:t>본 연구 결과의 산업 위치</w:t>
      </w:r>
    </w:p>
    <w:p>
      <w:pPr>
        <w:spacing w:line="384" w:lineRule="auto" w:before="0" w:after="120"/>
        <w:ind w:firstLine="283"/>
        <w:jc w:val="left"/>
      </w:pPr>
      <w:r>
        <w:rPr>
          <w:rFonts w:ascii="Times New Roman" w:hAnsi="Times New Roman" w:eastAsia="맑은 고딕"/>
          <w:b w:val="0"/>
          <w:sz w:val="22"/>
        </w:rPr>
        <w:t>본 연구의 핵심 정량 지표는 다음과 같이 신용평가 산업 벤치마크와 비교된다.</w:t>
      </w:r>
    </w:p>
    <w:p>
      <w:pPr>
        <w:spacing w:line="384" w:lineRule="auto" w:before="0" w:after="120"/>
        <w:ind w:firstLine="283"/>
        <w:jc w:val="left"/>
      </w:pPr>
      <w:r>
        <w:rPr>
          <w:rFonts w:ascii="Times New Roman" w:hAnsi="Times New Roman" w:eastAsia="맑은 고딕"/>
          <w:b w:val="0"/>
          <w:sz w:val="22"/>
        </w:rPr>
        <w:t>표 4-Y. 본 연구 결과의 산업 벤치마크 위치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항목</w:t>
            </w:r>
          </w:p>
        </w:tc>
        <w:tc>
          <w:tcPr>
            <w:tcW w:type="dxa" w:w="2280"/>
          </w:tcPr>
          <w:p>
            <w:r>
              <w:rPr>
                <w:rFonts w:ascii="Times New Roman" w:hAnsi="Times New Roman" w:eastAsia="맑은 고딕"/>
                <w:b/>
                <w:sz w:val="20"/>
              </w:rPr>
              <w:t>본 연구 결과</w:t>
            </w:r>
          </w:p>
        </w:tc>
        <w:tc>
          <w:tcPr>
            <w:tcW w:type="dxa" w:w="2280"/>
          </w:tcPr>
          <w:p>
            <w:r>
              <w:rPr>
                <w:rFonts w:ascii="Times New Roman" w:hAnsi="Times New Roman" w:eastAsia="맑은 고딕"/>
                <w:b/>
                <w:sz w:val="20"/>
              </w:rPr>
              <w:t>산업 벤치마크</w:t>
            </w:r>
          </w:p>
        </w:tc>
        <w:tc>
          <w:tcPr>
            <w:tcW w:type="dxa" w:w="2280"/>
          </w:tcPr>
          <w:p>
            <w:r>
              <w:rPr>
                <w:rFonts w:ascii="Times New Roman" w:hAnsi="Times New Roman" w:eastAsia="맑은 고딕"/>
                <w:b/>
                <w:sz w:val="20"/>
              </w:rPr>
              <w:t>평가</w:t>
            </w:r>
          </w:p>
        </w:tc>
      </w:tr>
      <w:tr>
        <w:tc>
          <w:tcPr>
            <w:tcW w:type="dxa" w:w="2280"/>
          </w:tcPr>
          <w:p>
            <w:r>
              <w:rPr>
                <w:rFonts w:ascii="Times New Roman" w:hAnsi="Times New Roman" w:eastAsia="맑은 고딕"/>
                <w:b w:val="0"/>
                <w:sz w:val="20"/>
              </w:rPr>
              <w:t>Home Credit AUROC (baseline)</w:t>
            </w:r>
          </w:p>
        </w:tc>
        <w:tc>
          <w:tcPr>
            <w:tcW w:type="dxa" w:w="2280"/>
          </w:tcPr>
          <w:p>
            <w:r>
              <w:rPr>
                <w:rFonts w:ascii="Times New Roman" w:hAnsi="Times New Roman" w:eastAsia="맑은 고딕"/>
                <w:b w:val="0"/>
                <w:sz w:val="20"/>
              </w:rPr>
              <w:t>0.7587 ± 0.0008</w:t>
            </w:r>
          </w:p>
        </w:tc>
        <w:tc>
          <w:tcPr>
            <w:tcW w:type="dxa" w:w="2280"/>
          </w:tcPr>
          <w:p>
            <w:r>
              <w:rPr>
                <w:rFonts w:ascii="Times New Roman" w:hAnsi="Times New Roman" w:eastAsia="맑은 고딕"/>
                <w:b w:val="0"/>
                <w:sz w:val="20"/>
              </w:rPr>
              <w:t>0.70~0.80 mainstream</w:t>
            </w:r>
          </w:p>
        </w:tc>
        <w:tc>
          <w:tcPr>
            <w:tcW w:type="dxa" w:w="2280"/>
          </w:tcPr>
          <w:p>
            <w:r>
              <w:rPr>
                <w:rFonts w:ascii="Times New Roman" w:hAnsi="Times New Roman" w:eastAsia="맑은 고딕"/>
                <w:b w:val="0"/>
                <w:sz w:val="20"/>
              </w:rPr>
              <w:t>표준 범위</w:t>
            </w:r>
          </w:p>
        </w:tc>
      </w:tr>
      <w:tr>
        <w:tc>
          <w:tcPr>
            <w:tcW w:type="dxa" w:w="2280"/>
          </w:tcPr>
          <w:p>
            <w:r>
              <w:rPr>
                <w:rFonts w:ascii="Times New Roman" w:hAnsi="Times New Roman" w:eastAsia="맑은 고딕"/>
                <w:b w:val="0"/>
                <w:sz w:val="20"/>
              </w:rPr>
              <w:t>Home Credit AUROC (+ aux 보조 테이블)</w:t>
            </w:r>
          </w:p>
        </w:tc>
        <w:tc>
          <w:tcPr>
            <w:tcW w:type="dxa" w:w="2280"/>
          </w:tcPr>
          <w:p>
            <w:r>
              <w:rPr>
                <w:rFonts w:ascii="Times New Roman" w:hAnsi="Times New Roman" w:eastAsia="맑은 고딕"/>
                <w:b w:val="0"/>
                <w:sz w:val="20"/>
              </w:rPr>
              <w:t>**0.7755** (+2.22%)</w:t>
            </w:r>
          </w:p>
        </w:tc>
        <w:tc>
          <w:tcPr>
            <w:tcW w:type="dxa" w:w="2280"/>
          </w:tcPr>
          <w:p>
            <w:r>
              <w:rPr>
                <w:rFonts w:ascii="Times New Roman" w:hAnsi="Times New Roman" w:eastAsia="맑은 고딕"/>
                <w:b w:val="0"/>
                <w:sz w:val="20"/>
              </w:rPr>
              <w:t>—</w:t>
            </w:r>
          </w:p>
        </w:tc>
        <w:tc>
          <w:tcPr>
            <w:tcW w:type="dxa" w:w="2280"/>
          </w:tcPr>
          <w:p>
            <w:r>
              <w:rPr>
                <w:rFonts w:ascii="Times New Roman" w:hAnsi="Times New Roman" w:eastAsia="맑은 고딕"/>
                <w:b w:val="0"/>
                <w:sz w:val="20"/>
              </w:rPr>
              <w:t>표준 상위</w:t>
            </w:r>
          </w:p>
        </w:tc>
      </w:tr>
      <w:tr>
        <w:tc>
          <w:tcPr>
            <w:tcW w:type="dxa" w:w="2280"/>
          </w:tcPr>
          <w:p>
            <w:r>
              <w:rPr>
                <w:rFonts w:ascii="Times New Roman" w:hAnsi="Times New Roman" w:eastAsia="맑은 고딕"/>
                <w:b w:val="0"/>
                <w:sz w:val="20"/>
              </w:rPr>
              <w:t>UCI German Credit AUROC</w:t>
            </w:r>
          </w:p>
        </w:tc>
        <w:tc>
          <w:tcPr>
            <w:tcW w:type="dxa" w:w="2280"/>
          </w:tcPr>
          <w:p>
            <w:r>
              <w:rPr>
                <w:rFonts w:ascii="Times New Roman" w:hAnsi="Times New Roman" w:eastAsia="맑은 고딕"/>
                <w:b w:val="0"/>
                <w:sz w:val="20"/>
              </w:rPr>
              <w:t>0.7714 ± 0.0292</w:t>
            </w:r>
          </w:p>
        </w:tc>
        <w:tc>
          <w:tcPr>
            <w:tcW w:type="dxa" w:w="2280"/>
          </w:tcPr>
          <w:p>
            <w:r>
              <w:rPr>
                <w:rFonts w:ascii="Times New Roman" w:hAnsi="Times New Roman" w:eastAsia="맑은 고딕"/>
                <w:b w:val="0"/>
                <w:sz w:val="20"/>
              </w:rPr>
              <w:t>0.70~0.80 mainstream</w:t>
            </w:r>
          </w:p>
        </w:tc>
        <w:tc>
          <w:tcPr>
            <w:tcW w:type="dxa" w:w="2280"/>
          </w:tcPr>
          <w:p>
            <w:r>
              <w:rPr>
                <w:rFonts w:ascii="Times New Roman" w:hAnsi="Times New Roman" w:eastAsia="맑은 고딕"/>
                <w:b w:val="0"/>
                <w:sz w:val="20"/>
              </w:rPr>
              <w:t>표준 범위</w:t>
            </w:r>
          </w:p>
        </w:tc>
      </w:tr>
      <w:tr>
        <w:tc>
          <w:tcPr>
            <w:tcW w:type="dxa" w:w="2280"/>
          </w:tcPr>
          <w:p>
            <w:r>
              <w:rPr>
                <w:rFonts w:ascii="Times New Roman" w:hAnsi="Times New Roman" w:eastAsia="맑은 고딕"/>
                <w:b w:val="0"/>
                <w:sz w:val="20"/>
              </w:rPr>
              <w:t>Home Credit KS</w:t>
            </w:r>
          </w:p>
        </w:tc>
        <w:tc>
          <w:tcPr>
            <w:tcW w:type="dxa" w:w="2280"/>
          </w:tcPr>
          <w:p>
            <w:r>
              <w:rPr>
                <w:rFonts w:ascii="Times New Roman" w:hAnsi="Times New Roman" w:eastAsia="맑은 고딕"/>
                <w:b w:val="0"/>
                <w:sz w:val="20"/>
              </w:rPr>
              <w:t>0.3829</w:t>
            </w:r>
          </w:p>
        </w:tc>
        <w:tc>
          <w:tcPr>
            <w:tcW w:type="dxa" w:w="2280"/>
          </w:tcPr>
          <w:p>
            <w:r>
              <w:rPr>
                <w:rFonts w:ascii="Times New Roman" w:hAnsi="Times New Roman" w:eastAsia="맑은 고딕"/>
                <w:b w:val="0"/>
                <w:sz w:val="20"/>
              </w:rPr>
              <w:t>KS &gt; 0.3 (수용), &gt; 0.4 (양호)</w:t>
            </w:r>
          </w:p>
        </w:tc>
        <w:tc>
          <w:tcPr>
            <w:tcW w:type="dxa" w:w="2280"/>
          </w:tcPr>
          <w:p>
            <w:r>
              <w:rPr>
                <w:rFonts w:ascii="Times New Roman" w:hAnsi="Times New Roman" w:eastAsia="맑은 고딕"/>
                <w:b w:val="0"/>
                <w:sz w:val="20"/>
              </w:rPr>
              <w:t>**수용~양호**</w:t>
            </w:r>
          </w:p>
        </w:tc>
      </w:tr>
      <w:tr>
        <w:tc>
          <w:tcPr>
            <w:tcW w:type="dxa" w:w="2280"/>
          </w:tcPr>
          <w:p>
            <w:r>
              <w:rPr>
                <w:rFonts w:ascii="Times New Roman" w:hAnsi="Times New Roman" w:eastAsia="맑은 고딕"/>
                <w:b w:val="0"/>
                <w:sz w:val="20"/>
              </w:rPr>
              <w:t>UCI German Credit KS</w:t>
            </w:r>
          </w:p>
        </w:tc>
        <w:tc>
          <w:tcPr>
            <w:tcW w:type="dxa" w:w="2280"/>
          </w:tcPr>
          <w:p>
            <w:r>
              <w:rPr>
                <w:rFonts w:ascii="Times New Roman" w:hAnsi="Times New Roman" w:eastAsia="맑은 고딕"/>
                <w:b w:val="0"/>
                <w:sz w:val="20"/>
              </w:rPr>
              <w:t>0.4248</w:t>
            </w:r>
          </w:p>
        </w:tc>
        <w:tc>
          <w:tcPr>
            <w:tcW w:type="dxa" w:w="2280"/>
          </w:tcPr>
          <w:p>
            <w:r>
              <w:rPr>
                <w:rFonts w:ascii="Times New Roman" w:hAnsi="Times New Roman" w:eastAsia="맑은 고딕"/>
                <w:b w:val="0"/>
                <w:sz w:val="20"/>
              </w:rPr>
              <w:t>KS &gt; 0.4 (양호)</w:t>
            </w:r>
          </w:p>
        </w:tc>
        <w:tc>
          <w:tcPr>
            <w:tcW w:type="dxa" w:w="2280"/>
          </w:tcPr>
          <w:p>
            <w:r>
              <w:rPr>
                <w:rFonts w:ascii="Times New Roman" w:hAnsi="Times New Roman" w:eastAsia="맑은 고딕"/>
                <w:b w:val="0"/>
                <w:sz w:val="20"/>
              </w:rPr>
              <w:t>**양호**</w:t>
            </w:r>
          </w:p>
        </w:tc>
      </w:tr>
      <w:tr>
        <w:tc>
          <w:tcPr>
            <w:tcW w:type="dxa" w:w="2280"/>
          </w:tcPr>
          <w:p>
            <w:r>
              <w:rPr>
                <w:rFonts w:ascii="Times New Roman" w:hAnsi="Times New Roman" w:eastAsia="맑은 고딕"/>
                <w:b w:val="0"/>
                <w:sz w:val="20"/>
              </w:rPr>
              <w:t>Kaggle Home Credit 우승 모델 (참조)</w:t>
            </w:r>
          </w:p>
        </w:tc>
        <w:tc>
          <w:tcPr>
            <w:tcW w:type="dxa" w:w="2280"/>
          </w:tcPr>
          <w:p>
            <w:r>
              <w:rPr>
                <w:rFonts w:ascii="Times New Roman" w:hAnsi="Times New Roman" w:eastAsia="맑은 고딕"/>
                <w:b w:val="0"/>
                <w:sz w:val="20"/>
              </w:rPr>
              <w:t>약 0.81 (ensemble + full aux)</w:t>
            </w:r>
          </w:p>
        </w:tc>
        <w:tc>
          <w:tcPr>
            <w:tcW w:type="dxa" w:w="2280"/>
          </w:tcPr>
          <w:p>
            <w:r>
              <w:rPr>
                <w:rFonts w:ascii="Times New Roman" w:hAnsi="Times New Roman" w:eastAsia="맑은 고딕"/>
                <w:b w:val="0"/>
                <w:sz w:val="20"/>
              </w:rPr>
              <w:t>—</w:t>
            </w:r>
          </w:p>
        </w:tc>
        <w:tc>
          <w:tcPr>
            <w:tcW w:type="dxa" w:w="2280"/>
          </w:tcPr>
          <w:p>
            <w:r>
              <w:rPr>
                <w:rFonts w:ascii="Times New Roman" w:hAnsi="Times New Roman" w:eastAsia="맑은 고딕"/>
                <w:b w:val="0"/>
                <w:sz w:val="20"/>
              </w:rPr>
              <w:t>본 연구 + 약 0.05</w:t>
            </w:r>
          </w:p>
        </w:tc>
      </w:tr>
    </w:tbl>
    <w:p>
      <w:pPr>
        <w:spacing w:line="384" w:lineRule="auto" w:before="0" w:after="120"/>
        <w:ind w:firstLine="283"/>
        <w:jc w:val="left"/>
      </w:pPr>
      <w:r>
        <w:rPr>
          <w:rFonts w:ascii="Times New Roman" w:hAnsi="Times New Roman" w:eastAsia="맑은 고딕"/>
          <w:b w:val="0"/>
          <w:sz w:val="22"/>
        </w:rPr>
        <w:t>본 연구의 AUROC 0.76 수준은 신용평가 산업의 mainstream 범위 에 위치하며, KS 통계량 0.38~0.42 수준은 실무 양호 기준 을 충족한다. Kaggle 대회 우승 모델과의 약 0.05 차이는 본 연구가 메인 테이블과 일부 보조 테이블(bureau, previous_application)만 활용한 결과로, 잔여 보조 테이블 4개(POS_CASH_balance, credit_card_balance, installments_payments, bureau_balance)를 추가 활용하면 추가 향상 여지가 있다.</w:t>
      </w:r>
    </w:p>
    <w:p>
      <w:pPr>
        <w:spacing w:line="384" w:lineRule="auto" w:before="200" w:after="80"/>
        <w:jc w:val="left"/>
      </w:pPr>
      <w:r>
        <w:rPr>
          <w:rFonts w:ascii="Times New Roman" w:hAnsi="Times New Roman" w:eastAsia="맑은 고딕"/>
          <w:b/>
          <w:sz w:val="22"/>
        </w:rPr>
        <w:t>실무 도입 시 추가 고려 사항</w:t>
      </w:r>
    </w:p>
    <w:p>
      <w:pPr>
        <w:spacing w:line="384" w:lineRule="auto" w:before="0" w:after="120"/>
        <w:ind w:firstLine="283"/>
        <w:jc w:val="left"/>
      </w:pPr>
      <w:r>
        <w:rPr>
          <w:rFonts w:ascii="Times New Roman" w:hAnsi="Times New Roman" w:eastAsia="맑은 고딕"/>
          <w:b w:val="0"/>
          <w:sz w:val="22"/>
        </w:rPr>
        <w:t>AUROC와 KS만으로 실무 도입 결정이 완결되지 않으며, 본 연구는 다음의 보완 차원도 함께 충족한다.</w:t>
      </w:r>
    </w:p>
    <w:p>
      <w:pPr>
        <w:spacing w:line="384" w:lineRule="auto" w:before="0" w:after="120"/>
        <w:ind w:firstLine="283"/>
        <w:jc w:val="left"/>
      </w:pPr>
      <w:r>
        <w:rPr>
          <w:rFonts w:ascii="Times New Roman" w:hAnsi="Times New Roman" w:eastAsia="맑은 고딕"/>
          <w:b w:val="0"/>
          <w:sz w:val="22"/>
        </w:rPr>
        <w:t>1. 공정성 규제 준수: 본 연구의 Reweighing 적용 결과 4가지 보호 속성 × 데이터셋 조합 모두에서 4/5 규칙(Disparate Impact ≥ 0.8) 통과하며 AUROC 손실 0.004 이내로 유지된다(4.5절).</w:t>
      </w:r>
    </w:p>
    <w:p>
      <w:pPr>
        <w:spacing w:line="384" w:lineRule="auto" w:before="0" w:after="120"/>
        <w:ind w:firstLine="283"/>
        <w:jc w:val="left"/>
      </w:pPr>
      <w:r>
        <w:rPr>
          <w:rFonts w:ascii="Times New Roman" w:hAnsi="Times New Roman" w:eastAsia="맑은 고딕"/>
          <w:b w:val="0"/>
          <w:sz w:val="22"/>
        </w:rPr>
        <w:t>2. 설명 가능성: 본 연구의 fusion 메커니즘과 LLM RAG 자연어 설명은 GDPR 22조 자동화된 의사결정에 대한 설명 받을 권리 와 금융감독원 금융 분야 AI 가이드라인 [5]의 설명 가능성 요건을 직접 충족한다.</w:t>
      </w:r>
    </w:p>
    <w:p>
      <w:pPr>
        <w:spacing w:line="384" w:lineRule="auto" w:before="0" w:after="120"/>
        <w:ind w:firstLine="283"/>
        <w:jc w:val="left"/>
      </w:pPr>
      <w:r>
        <w:rPr>
          <w:rFonts w:ascii="Times New Roman" w:hAnsi="Times New Roman" w:eastAsia="맑은 고딕"/>
          <w:b w:val="0"/>
          <w:sz w:val="22"/>
        </w:rPr>
        <w:t>3. AUPRC 보완: 본 연구는 클래스 불균형 환경에서 AUROC만으로 충분하지 않다는 점을 반영하여 AUPRC와 KS를 함께 보고한다. Home Credit AUPRC 0.2436은 부도율 8.07%의 불균형을 고려할 때 산업 표준 수준이다.</w:t>
      </w:r>
    </w:p>
    <w:p>
      <w:pPr>
        <w:spacing w:line="384" w:lineRule="auto" w:before="0" w:after="120"/>
        <w:ind w:firstLine="283"/>
        <w:jc w:val="left"/>
      </w:pPr>
      <w:r>
        <w:rPr>
          <w:rFonts w:ascii="Times New Roman" w:hAnsi="Times New Roman" w:eastAsia="맑은 고딕"/>
          <w:b w:val="0"/>
          <w:sz w:val="22"/>
        </w:rPr>
        <w:t>4. 재현 가능성: SEED=42 고정과 GitHub 공개 저장소(부록 F)로 모든 결과의 재현 가능성을 확보하여 실무 도입 시 검증 가능성 을 보장한다.</w:t>
      </w:r>
    </w:p>
    <w:p>
      <w:pPr>
        <w:spacing w:line="384" w:lineRule="auto" w:before="0" w:after="120"/>
        <w:ind w:firstLine="283"/>
        <w:jc w:val="left"/>
      </w:pPr>
      <w:r>
        <w:rPr>
          <w:rFonts w:ascii="Times New Roman" w:hAnsi="Times New Roman" w:eastAsia="맑은 고딕"/>
          <w:b w:val="0"/>
          <w:sz w:val="22"/>
        </w:rPr>
        <w:t>다만 본 연구의 결과를 실제 신용평가 서비스에 도입하기 위해서는 다음의 추가 작업이 필요하다.</w:t>
      </w:r>
    </w:p>
    <w:p>
      <w:pPr>
        <w:spacing w:line="384" w:lineRule="auto" w:before="0" w:after="120"/>
        <w:ind w:firstLine="283"/>
        <w:jc w:val="left"/>
      </w:pPr>
      <w:r>
        <w:rPr>
          <w:rFonts w:ascii="Times New Roman" w:hAnsi="Times New Roman" w:eastAsia="맑은 고딕"/>
          <w:b w:val="0"/>
          <w:sz w:val="22"/>
        </w:rPr>
        <w:t>• 표본 외 검증(out-of-time validation): 본 연구는 단일 시점 데이터의 무작위 분할만 사용. 실무 도입을 위해서는 시간 경과에 따른 분포 변동 을 반영한 외삽 검증이 필요하다.</w:t>
      </w:r>
    </w:p>
    <w:p>
      <w:pPr>
        <w:spacing w:line="384" w:lineRule="auto" w:before="0" w:after="120"/>
        <w:ind w:firstLine="283"/>
        <w:jc w:val="left"/>
      </w:pPr>
      <w:r>
        <w:rPr>
          <w:rFonts w:ascii="Times New Roman" w:hAnsi="Times New Roman" w:eastAsia="맑은 고딕"/>
          <w:b w:val="0"/>
          <w:sz w:val="22"/>
        </w:rPr>
        <w:t>• A/B 테스트 운영: 도입 초기 1~3개월의 병행 운영을 통해 기존 모델 대비 성능·공정성·운영 안정성을 비교해야 한다.</w:t>
      </w:r>
    </w:p>
    <w:p>
      <w:pPr>
        <w:spacing w:line="384" w:lineRule="auto" w:before="0" w:after="120"/>
        <w:ind w:firstLine="283"/>
        <w:jc w:val="left"/>
      </w:pPr>
      <w:r>
        <w:rPr>
          <w:rFonts w:ascii="Times New Roman" w:hAnsi="Times New Roman" w:eastAsia="맑은 고딕"/>
          <w:b w:val="0"/>
          <w:sz w:val="22"/>
        </w:rPr>
        <w:t>• 드리프트 모니터링: 신용평가 모델은 시간 경과에 따라 입력 분포가 변할 수 있으므로 주기적 재학습과 성능 추적이 필요하다.</w:t>
      </w:r>
    </w:p>
    <w:p>
      <w:pPr>
        <w:spacing w:line="384" w:lineRule="auto" w:before="0" w:after="120"/>
        <w:ind w:firstLine="283"/>
        <w:jc w:val="left"/>
      </w:pPr>
      <w:r>
        <w:rPr>
          <w:rFonts w:ascii="Times New Roman" w:hAnsi="Times New Roman" w:eastAsia="맑은 고딕"/>
          <w:b w:val="0"/>
          <w:sz w:val="22"/>
        </w:rPr>
        <w:t>• 사업 손실 함수 기반 임계값 튜닝: 본 연구는 Youden's J로 통계적 임계값을 결정. 실무 도입 시에는 false positive (정상 차주 거절) 과 false negative (부도 차주 승인) 의 비용 차이를 반영한 임계값 조정이 필요하다.</w:t>
      </w:r>
    </w:p>
    <w:p>
      <w:pPr>
        <w:spacing w:line="384" w:lineRule="auto" w:before="0" w:after="120"/>
        <w:ind w:firstLine="283"/>
        <w:jc w:val="left"/>
      </w:pPr>
      <w:r>
        <w:rPr>
          <w:rFonts w:ascii="Times New Roman" w:hAnsi="Times New Roman" w:eastAsia="맑은 고딕"/>
          <w:b w:val="0"/>
          <w:sz w:val="22"/>
        </w:rPr>
        <w:t>• 잔여 보조 테이블 4개 활용: 본 연구는 일부 보조 테이블만 활용. 모든 보조 테이블 활용 시 AUROC 0.81+ 수준에 도달할 가능성이 있다(향후 연구).</w:t>
      </w:r>
    </w:p>
    <w:p>
      <w:pPr>
        <w:spacing w:line="384" w:lineRule="auto" w:before="200" w:after="80"/>
        <w:jc w:val="left"/>
      </w:pPr>
      <w:r>
        <w:rPr>
          <w:rFonts w:ascii="Times New Roman" w:hAnsi="Times New Roman" w:eastAsia="맑은 고딕"/>
          <w:b/>
          <w:sz w:val="22"/>
        </w:rPr>
        <w:t>본 연구의 학술적 위치 재정리</w:t>
      </w:r>
    </w:p>
    <w:p>
      <w:pPr>
        <w:spacing w:line="384" w:lineRule="auto" w:before="0" w:after="120"/>
        <w:ind w:firstLine="283"/>
        <w:jc w:val="left"/>
      </w:pPr>
      <w:r>
        <w:rPr>
          <w:rFonts w:ascii="Times New Roman" w:hAnsi="Times New Roman" w:eastAsia="맑은 고딕"/>
          <w:b w:val="0"/>
          <w:sz w:val="22"/>
        </w:rPr>
        <w:t>이상의 산업 벤치마크 분석을 종합하면 본 연구의 학술적 위치는 다음과 같이 정리된다.</w:t>
      </w:r>
    </w:p>
    <w:p>
      <w:pPr>
        <w:spacing w:line="384" w:lineRule="auto" w:before="0" w:after="120"/>
        <w:ind w:firstLine="283"/>
        <w:jc w:val="left"/>
      </w:pPr>
      <w:r>
        <w:rPr>
          <w:rFonts w:ascii="Times New Roman" w:hAnsi="Times New Roman" w:eastAsia="맑은 고딕"/>
          <w:b w:val="0"/>
          <w:sz w:val="22"/>
        </w:rPr>
        <w:t>• 본 연구의 baseline 예측 모델(XGBoost)은 신용평가 산업의 mainstream 범위(AUROC 0.70~0.80)에 위치하며, 실무 도입 가능한 수준 이다.</w:t>
      </w:r>
    </w:p>
    <w:p>
      <w:pPr>
        <w:spacing w:line="384" w:lineRule="auto" w:before="0" w:after="120"/>
        <w:ind w:firstLine="283"/>
        <w:jc w:val="left"/>
      </w:pPr>
      <w:r>
        <w:rPr>
          <w:rFonts w:ascii="Times New Roman" w:hAnsi="Times New Roman" w:eastAsia="맑은 고딕"/>
          <w:b w:val="0"/>
          <w:sz w:val="22"/>
        </w:rPr>
        <w:t>• 본 연구의 핵심 contribution은 예측 정확도 최고치 갱신 이 아니라, 이 mainstream 수준의 baseline 위에 Fusion XAI 컨텍스트 + LLM RAG 자연어 설명 + Reweighing 공정성 보정 의 통합 시스템을 구축하고, 이를 4-tier 평가 프레임워크 로 검증한 점에 있다.</w:t>
      </w:r>
    </w:p>
    <w:p>
      <w:pPr>
        <w:spacing w:line="384" w:lineRule="auto" w:before="0" w:after="120"/>
        <w:ind w:firstLine="283"/>
        <w:jc w:val="left"/>
      </w:pPr>
      <w:r>
        <w:rPr>
          <w:rFonts w:ascii="Times New Roman" w:hAnsi="Times New Roman" w:eastAsia="맑은 고딕"/>
          <w:b w:val="0"/>
          <w:sz w:val="22"/>
        </w:rPr>
        <w:t>• 즉 본 연구는 "적절한 예측 정확도 + 강한 설명 가능성 + 공정성 규제 준수" 의 동시 달성 가능성을 정량 입증하며, 이는 신용평가 산업의 실무 도입 과 학술적 기여 양 측면 모두에서 의미가 있다.</w:t>
      </w:r>
    </w:p>
    <w:p>
      <w:pPr>
        <w:pStyle w:val="Heading2"/>
        <w:spacing w:line="384" w:lineRule="auto" w:before="360" w:after="240"/>
        <w:jc w:val="left"/>
      </w:pPr>
      <w:r>
        <w:rPr>
          <w:rFonts w:ascii="Times New Roman" w:hAnsi="Times New Roman" w:eastAsia="맑은 고딕"/>
          <w:b/>
          <w:color w:val="000000"/>
          <w:sz w:val="26"/>
        </w:rPr>
        <w:t>4.2 SHAP × 어텐션 일관성</w:t>
      </w:r>
    </w:p>
    <w:p>
      <w:pPr>
        <w:pStyle w:val="Heading3"/>
        <w:spacing w:line="384" w:lineRule="auto" w:before="240" w:after="120"/>
        <w:jc w:val="left"/>
      </w:pPr>
      <w:r>
        <w:rPr>
          <w:rFonts w:ascii="Times New Roman" w:hAnsi="Times New Roman" w:eastAsia="맑은 고딕"/>
          <w:b/>
          <w:color w:val="000000"/>
          <w:sz w:val="22"/>
        </w:rPr>
        <w:t>4.2.1 Home Credit 일관성 분석</w:t>
      </w:r>
    </w:p>
    <w:p>
      <w:pPr>
        <w:spacing w:line="384"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2" name="Picture 2"/>
            <wp:cNvGraphicFramePr>
              <a:graphicFrameLocks noChangeAspect="1"/>
            </wp:cNvGraphicFramePr>
            <a:graphic>
              <a:graphicData uri="http://schemas.openxmlformats.org/drawingml/2006/picture">
                <pic:pic>
                  <pic:nvPicPr>
                    <pic:cNvPr id="0" name="16_attention_vs_shap_scatter.png"/>
                    <pic:cNvPicPr/>
                  </pic:nvPicPr>
                  <pic:blipFill>
                    <a:blip r:embed="rId10"/>
                    <a:stretch>
                      <a:fillRect/>
                    </a:stretch>
                  </pic:blipFill>
                  <pic:spPr>
                    <a:xfrm>
                      <a:off x="0" y="0"/>
                      <a:ext cx="5040000" cy="2218805"/>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Home Credit XGBoost SHAP global importance와 TabNet 평균 어텐션의 산점도 (Spearman ρ=0.117)</w:t>
      </w:r>
    </w:p>
    <w:p>
      <w:pPr>
        <w:spacing w:line="384"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384" w:lineRule="auto" w:before="240" w:after="120"/>
        <w:jc w:val="left"/>
      </w:pPr>
      <w:r>
        <w:rPr>
          <w:rFonts w:ascii="Times New Roman" w:hAnsi="Times New Roman" w:eastAsia="맑은 고딕"/>
          <w:b/>
          <w:color w:val="000000"/>
          <w:sz w:val="22"/>
        </w:rPr>
        <w:t>4.2.2 인스턴스 수준 동의 통계</w:t>
      </w:r>
    </w:p>
    <w:p>
      <w:pPr>
        <w:spacing w:line="384" w:lineRule="auto" w:before="0" w:after="120"/>
        <w:ind w:firstLine="283"/>
        <w:jc w:val="left"/>
      </w:pPr>
      <w:r>
        <w:rPr>
          <w:rFonts w:ascii="Times New Roman" w:hAnsi="Times New Roman" w:eastAsia="맑은 고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384" w:lineRule="auto" w:before="360" w:after="240"/>
        <w:jc w:val="left"/>
      </w:pPr>
      <w:r>
        <w:rPr>
          <w:rFonts w:ascii="Times New Roman" w:hAnsi="Times New Roman" w:eastAsia="맑은 고딕"/>
          <w:b/>
          <w:color w:val="000000"/>
          <w:sz w:val="26"/>
        </w:rPr>
        <w:t>4.3 4-mode 자연어 설명 비교</w:t>
      </w:r>
    </w:p>
    <w:p>
      <w:pPr>
        <w:pStyle w:val="Heading3"/>
        <w:spacing w:line="384" w:lineRule="auto" w:before="240" w:after="120"/>
        <w:jc w:val="left"/>
      </w:pPr>
      <w:r>
        <w:rPr>
          <w:rFonts w:ascii="Times New Roman" w:hAnsi="Times New Roman" w:eastAsia="맑은 고딕"/>
          <w:b/>
          <w:color w:val="000000"/>
          <w:sz w:val="22"/>
        </w:rPr>
        <w:t>4.3.1 4-mode 정의와 평가 대상</w:t>
      </w:r>
    </w:p>
    <w:p>
      <w:pPr>
        <w:spacing w:line="384"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384" w:lineRule="auto" w:before="240" w:after="120"/>
        <w:jc w:val="left"/>
      </w:pPr>
      <w:r>
        <w:rPr>
          <w:rFonts w:ascii="Times New Roman" w:hAnsi="Times New Roman" w:eastAsia="맑은 고딕"/>
          <w:b/>
          <w:color w:val="000000"/>
          <w:sz w:val="22"/>
        </w:rPr>
        <w:t>4.3.2 환각률 (Hallucination Rate)</w:t>
      </w:r>
    </w:p>
    <w:p>
      <w:pPr>
        <w:spacing w:line="384" w:lineRule="auto" w:before="200" w:after="80"/>
        <w:jc w:val="left"/>
      </w:pPr>
      <w:r>
        <w:rPr>
          <w:rFonts w:ascii="Times New Roman" w:hAnsi="Times New Roman" w:eastAsia="맑은 고딕"/>
          <w:b/>
          <w:sz w:val="22"/>
        </w:rPr>
        <w:t>본 연구가 측정하는 "환각률 0%"의 정확한 범위</w:t>
      </w:r>
    </w:p>
    <w:p>
      <w:pPr>
        <w:spacing w:line="384" w:lineRule="auto" w:before="0" w:after="120"/>
        <w:ind w:firstLine="283"/>
        <w:jc w:val="left"/>
      </w:pPr>
      <w:r>
        <w:rPr>
          <w:rFonts w:ascii="Times New Roman" w:hAnsi="Times New Roman" w:eastAsia="맑은 고딕"/>
          <w:b w:val="0"/>
          <w:sz w:val="22"/>
        </w:rPr>
        <w:t>본 연구의 환각률 0%는 LLM 자연어 설명 시스템이 측정 대상으로 삼는 세 가지 정확도 차원 중 한 가지에만 해당하는 표면적 지표이다. 세 차원은 다음과 같이 분리된다.</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차원</w:t>
            </w:r>
          </w:p>
        </w:tc>
        <w:tc>
          <w:tcPr>
            <w:tcW w:type="dxa" w:w="2280"/>
          </w:tcPr>
          <w:p>
            <w:r>
              <w:rPr>
                <w:rFonts w:ascii="Times New Roman" w:hAnsi="Times New Roman" w:eastAsia="맑은 고딕"/>
                <w:b/>
                <w:sz w:val="20"/>
              </w:rPr>
              <w:t>측정 대상</w:t>
            </w:r>
          </w:p>
        </w:tc>
        <w:tc>
          <w:tcPr>
            <w:tcW w:type="dxa" w:w="2280"/>
          </w:tcPr>
          <w:p>
            <w:r>
              <w:rPr>
                <w:rFonts w:ascii="Times New Roman" w:hAnsi="Times New Roman" w:eastAsia="맑은 고딕"/>
                <w:b/>
                <w:sz w:val="20"/>
              </w:rPr>
              <w:t>측정 도구</w:t>
            </w:r>
          </w:p>
        </w:tc>
        <w:tc>
          <w:tcPr>
            <w:tcW w:type="dxa" w:w="2280"/>
          </w:tcPr>
          <w:p>
            <w:r>
              <w:rPr>
                <w:rFonts w:ascii="Times New Roman" w:hAnsi="Times New Roman" w:eastAsia="맑은 고딕"/>
                <w:b/>
                <w:sz w:val="20"/>
              </w:rPr>
              <w:t>본 연구 결과</w:t>
            </w:r>
          </w:p>
        </w:tc>
      </w:tr>
      <w:tr>
        <w:tc>
          <w:tcPr>
            <w:tcW w:type="dxa" w:w="2280"/>
          </w:tcPr>
          <w:p>
            <w:r>
              <w:rPr>
                <w:rFonts w:ascii="Times New Roman" w:hAnsi="Times New Roman" w:eastAsia="맑은 고딕"/>
                <w:b w:val="0"/>
                <w:sz w:val="20"/>
              </w:rPr>
              <w:t>**A. 부도 예측 정확도**</w:t>
            </w:r>
          </w:p>
        </w:tc>
        <w:tc>
          <w:tcPr>
            <w:tcW w:type="dxa" w:w="2280"/>
          </w:tcPr>
          <w:p>
            <w:r>
              <w:rPr>
                <w:rFonts w:ascii="Times New Roman" w:hAnsi="Times New Roman" w:eastAsia="맑은 고딕"/>
                <w:b w:val="0"/>
                <w:sz w:val="20"/>
              </w:rPr>
              <w:t>XGBoost 모델이 실제 부도/정상을 맞추는 능력</w:t>
            </w:r>
          </w:p>
        </w:tc>
        <w:tc>
          <w:tcPr>
            <w:tcW w:type="dxa" w:w="2280"/>
          </w:tcPr>
          <w:p>
            <w:r>
              <w:rPr>
                <w:rFonts w:ascii="Times New Roman" w:hAnsi="Times New Roman" w:eastAsia="맑은 고딕"/>
                <w:b w:val="0"/>
                <w:sz w:val="20"/>
              </w:rPr>
              <w:t>AUROC, AUPRC, KS (5-fold CV)</w:t>
            </w:r>
          </w:p>
        </w:tc>
        <w:tc>
          <w:tcPr>
            <w:tcW w:type="dxa" w:w="2280"/>
          </w:tcPr>
          <w:p>
            <w:r>
              <w:rPr>
                <w:rFonts w:ascii="Times New Roman" w:hAnsi="Times New Roman" w:eastAsia="맑은 고딕"/>
                <w:b w:val="0"/>
                <w:sz w:val="20"/>
              </w:rPr>
              <w:t>XGBoost AUROC 0.7587 ± 0.0008 (4.1절)</w:t>
            </w:r>
          </w:p>
        </w:tc>
      </w:tr>
      <w:tr>
        <w:tc>
          <w:tcPr>
            <w:tcW w:type="dxa" w:w="2280"/>
          </w:tcPr>
          <w:p>
            <w:r>
              <w:rPr>
                <w:rFonts w:ascii="Times New Roman" w:hAnsi="Times New Roman" w:eastAsia="맑은 고딕"/>
                <w:b w:val="0"/>
                <w:sz w:val="20"/>
              </w:rPr>
              <w:t>**B. LLM 변수명 환각률**</w:t>
            </w:r>
          </w:p>
        </w:tc>
        <w:tc>
          <w:tcPr>
            <w:tcW w:type="dxa" w:w="2280"/>
          </w:tcPr>
          <w:p>
            <w:r>
              <w:rPr>
                <w:rFonts w:ascii="Times New Roman" w:hAnsi="Times New Roman" w:eastAsia="맑은 고딕"/>
                <w:b w:val="0"/>
                <w:sz w:val="20"/>
              </w:rPr>
              <w:t>LLM이 컨텍스트에 없는 변수명을 자발적으로 생성하는 비율</w:t>
            </w:r>
          </w:p>
        </w:tc>
        <w:tc>
          <w:tcPr>
            <w:tcW w:type="dxa" w:w="2280"/>
          </w:tcPr>
          <w:p>
            <w:r>
              <w:rPr>
                <w:rFonts w:ascii="Times New Roman" w:hAnsi="Times New Roman" w:eastAsia="맑은 고딕"/>
                <w:b w:val="0"/>
                <w:sz w:val="20"/>
              </w:rPr>
              <w:t>룰 기반 영문 토큰 매칭 (5.2.2절)</w:t>
            </w:r>
          </w:p>
        </w:tc>
        <w:tc>
          <w:tcPr>
            <w:tcW w:type="dxa" w:w="2280"/>
          </w:tcPr>
          <w:p>
            <w:r>
              <w:rPr>
                <w:rFonts w:ascii="Times New Roman" w:hAnsi="Times New Roman" w:eastAsia="맑은 고딕"/>
                <w:b w:val="0"/>
                <w:sz w:val="20"/>
              </w:rPr>
              <w:t>**0%** (모든 4-mode × 2 LLM × 60 호출)</w:t>
            </w:r>
          </w:p>
        </w:tc>
      </w:tr>
      <w:tr>
        <w:tc>
          <w:tcPr>
            <w:tcW w:type="dxa" w:w="2280"/>
          </w:tcPr>
          <w:p>
            <w:r>
              <w:rPr>
                <w:rFonts w:ascii="Times New Roman" w:hAnsi="Times New Roman" w:eastAsia="맑은 고딕"/>
                <w:b w:val="0"/>
                <w:sz w:val="20"/>
              </w:rPr>
              <w:t>**C. LLM 의미적 충실성**</w:t>
            </w:r>
          </w:p>
        </w:tc>
        <w:tc>
          <w:tcPr>
            <w:tcW w:type="dxa" w:w="2280"/>
          </w:tcPr>
          <w:p>
            <w:r>
              <w:rPr>
                <w:rFonts w:ascii="Times New Roman" w:hAnsi="Times New Roman" w:eastAsia="맑은 고딕"/>
                <w:b w:val="0"/>
                <w:sz w:val="20"/>
              </w:rPr>
              <w:t>LLM 설명의 의미가 입력 컨텍스트와 일치하는 정도</w:t>
            </w:r>
          </w:p>
        </w:tc>
        <w:tc>
          <w:tcPr>
            <w:tcW w:type="dxa" w:w="2280"/>
          </w:tcPr>
          <w:p>
            <w:r>
              <w:rPr>
                <w:rFonts w:ascii="Times New Roman" w:hAnsi="Times New Roman" w:eastAsia="맑은 고딕"/>
                <w:b w:val="0"/>
                <w:sz w:val="20"/>
              </w:rPr>
              <w:t>mDeBERTa-NLI 함의도 (5.3절)</w:t>
            </w:r>
          </w:p>
        </w:tc>
        <w:tc>
          <w:tcPr>
            <w:tcW w:type="dxa" w:w="2280"/>
          </w:tcPr>
          <w:p>
            <w:r>
              <w:rPr>
                <w:rFonts w:ascii="Times New Roman" w:hAnsi="Times New Roman" w:eastAsia="맑은 고딕"/>
                <w:b w:val="0"/>
                <w:sz w:val="20"/>
              </w:rPr>
              <w:t>fusion 0.625, no_shap 0.30 (4.3.3절)</w:t>
            </w:r>
          </w:p>
        </w:tc>
      </w:tr>
    </w:tbl>
    <w:p>
      <w:pPr>
        <w:spacing w:line="384" w:lineRule="auto" w:before="0" w:after="120"/>
        <w:ind w:firstLine="283"/>
        <w:jc w:val="left"/>
      </w:pPr>
      <w:r>
        <w:rPr>
          <w:rFonts w:ascii="Times New Roman" w:hAnsi="Times New Roman" w:eastAsia="맑은 고딕"/>
          <w:b w:val="0"/>
          <w:sz w:val="22"/>
        </w:rPr>
        <w:t>본 절에서 다루는 환각률 0% 는 위 차원 B에 해당하며, "LLM이 출력에 등장시킨 영문 대문자 변수 토큰이 모두 입력 컨텍스트 또는 데이터셋의 변수 집합에 존재했다"만을 보장한다. 즉 LLM은 EXT_SOURCE_99 와 같이 존재하지 않는 변수명을 새로 만들어내지 않았다는 의미이다.</w:t>
      </w:r>
    </w:p>
    <w:p>
      <w:pPr>
        <w:spacing w:line="384" w:lineRule="auto" w:before="0" w:after="120"/>
        <w:ind w:firstLine="283"/>
        <w:jc w:val="left"/>
      </w:pPr>
      <w:r>
        <w:rPr>
          <w:rFonts w:ascii="Times New Roman" w:hAnsi="Times New Roman" w:eastAsia="맑은 고딕"/>
          <w:b w:val="0"/>
          <w:sz w:val="22"/>
        </w:rPr>
        <w:t>이는 다음과 같은 의미를 보장하지 않는다. (1) 부도 예측 자체가 실제 부도와 일치하는가(차원 A로 별도 측정), (2) LLM이 인용한 변수 값을 100% 정확히 인용했는가(4.3.4절 값 정확 인용 비율로 측정), (3) LLM 설명이 입력 컨텍스트와 의미적으로 동일한가(차원 C, NLI로 측정). 본 연구는 이 세 차원을 독립적으로 측정·보고하여 환각률 단일 지표의 한계를 honest reporting의 관점에서 명시한다.</w:t>
      </w:r>
    </w:p>
    <w:p>
      <w:pPr>
        <w:spacing w:line="384" w:lineRule="auto" w:before="200" w:after="80"/>
        <w:jc w:val="left"/>
      </w:pPr>
      <w:r>
        <w:rPr>
          <w:rFonts w:ascii="Times New Roman" w:hAnsi="Times New Roman" w:eastAsia="맑은 고딕"/>
          <w:b/>
          <w:sz w:val="22"/>
        </w:rPr>
        <w:t>차원 B의 정량 결과 (룰 기반 환각률 0%)</w:t>
      </w:r>
    </w:p>
    <w:p>
      <w:pPr>
        <w:spacing w:line="384" w:lineRule="auto" w:before="0" w:after="120"/>
        <w:ind w:firstLine="283"/>
        <w:jc w:val="left"/>
      </w:pPr>
      <w:r>
        <w:rPr>
          <w:rFonts w:ascii="Times New Roman" w:hAnsi="Times New Roman" w:eastAsia="맑은 고딕"/>
          <w:b w:val="0"/>
          <w:sz w:val="22"/>
        </w:rPr>
        <w:t>Home Credit 데이터셋의 4-mode × 2 LLM 60건 모두에서 차원 B 환각률 0% 가 달성되었다. 즉 LLM 출력에 등장한 모든 영문 대문자 변수 토큰은 입력 컨텍스트 또는 데이터셋 내부에 존재하는 변수였다. UCI German Credit에서도 동일하게 240건 모두에서 차원 B 환각률 0%가 관찰되었다.</w:t>
      </w:r>
    </w:p>
    <w:p>
      <w:pPr>
        <w:spacing w:line="384" w:lineRule="auto" w:before="0" w:after="120"/>
        <w:ind w:firstLine="283"/>
        <w:jc w:val="left"/>
      </w:pPr>
      <w:r>
        <w:rPr>
          <w:rFonts w:ascii="Times New Roman" w:hAnsi="Times New Roman" w:eastAsia="맑은 고딕"/>
          <w:b w:val="0"/>
          <w:sz w:val="22"/>
        </w:rPr>
        <w:t>이 결과는 다음 두 가지를 시사한다.</w:t>
      </w:r>
    </w:p>
    <w:p>
      <w:pPr>
        <w:spacing w:line="384" w:lineRule="auto" w:before="0" w:after="120"/>
        <w:ind w:firstLine="283"/>
        <w:jc w:val="left"/>
      </w:pPr>
      <w:r>
        <w:rPr>
          <w:rFonts w:ascii="Times New Roman" w:hAnsi="Times New Roman" w:eastAsia="맑은 고딕"/>
          <w:b w:val="0"/>
          <w:sz w:val="22"/>
        </w:rPr>
        <w:t>첫째, hard constraint만으로 차원 B 환각 차단이 충분조건 이다. 단순한 제약("컨텍스트에 없는 변수는 생성 금지")이 반복 강조될 경우 LLM은 본 연구의 모든 모드에서 변수명 환각 없이 응답을 생성한다.</w:t>
      </w:r>
    </w:p>
    <w:p>
      <w:pPr>
        <w:spacing w:line="384" w:lineRule="auto" w:before="0" w:after="120"/>
        <w:ind w:firstLine="283"/>
        <w:jc w:val="left"/>
      </w:pPr>
      <w:r>
        <w:rPr>
          <w:rFonts w:ascii="Times New Roman" w:hAnsi="Times New Roman" w:eastAsia="맑은 고딕"/>
          <w:b w:val="0"/>
          <w:sz w:val="22"/>
        </w:rPr>
        <w:t>둘째, 차원 B 환각 차단은 본 연구 fusion 메커니즘의 차별성 근거가 아니다. 만일 fusion 모드에서만 0%이고 다른 모드에서는 0%보다 컸다면 "fusion = 환각 차단" 이라는 메시지를 강조할 수 있을 것이다. 그러나 모든 모드에서 0%가 달성되었으므로, 본 연구는 fusion 메커니즘의 차별성을 차원 B 환각 차단 이 아닌 차원 C 의미적 충실성 에서 찾는다. 그 차원이 다음 4.3.3절의 NLI 함의도와 4.3.4절의 값 정확 인용이다.</w:t>
      </w:r>
    </w:p>
    <w:p>
      <w:pPr>
        <w:spacing w:line="384" w:lineRule="auto" w:before="200" w:after="80"/>
        <w:jc w:val="left"/>
      </w:pPr>
      <w:r>
        <w:rPr>
          <w:rFonts w:ascii="Times New Roman" w:hAnsi="Times New Roman" w:eastAsia="맑은 고딕"/>
          <w:b/>
          <w:sz w:val="22"/>
        </w:rPr>
        <w:t>차원 A·C와의 명확한 분리</w:t>
      </w:r>
    </w:p>
    <w:p>
      <w:pPr>
        <w:spacing w:line="384" w:lineRule="auto" w:before="0" w:after="120"/>
        <w:ind w:firstLine="283"/>
        <w:jc w:val="left"/>
      </w:pPr>
      <w:r>
        <w:rPr>
          <w:rFonts w:ascii="Times New Roman" w:hAnsi="Times New Roman" w:eastAsia="맑은 고딕"/>
          <w:b w:val="0"/>
          <w:sz w:val="22"/>
        </w:rPr>
        <w:t>본 연구의 차원 B 환각률 0%는 LLM 설명 단계에서 변수명을 지어내지 않았다 까지만 보장하며, 부도 예측이 실제 데이터와 일치한다 (차원 A) 또는 설명이 입력 컨텍스트와 의미적으로 100% 동일하다 (차원 C)를 보장하지 않는다. 본 시스템의 부도 예측 정확도는 4.1절에서 XGBoost AUROC 0.7587 (Home Credit) 및 0.7714 (UCI German Credit)로 별도 보고되며, LLM 설명의 의미적 충실성은 4.3.3절에서 NLI Entailment Rate로 4-mode 차이가 정량 측정된다. 이 세 차원의 분리는 본 연구 7장(논의)에서도 honest reporting의 관점에서 재확인된다.</w:t>
      </w:r>
    </w:p>
    <w:p>
      <w:pPr>
        <w:pStyle w:val="Heading3"/>
        <w:spacing w:line="384" w:lineRule="auto" w:before="240" w:after="120"/>
        <w:jc w:val="left"/>
      </w:pPr>
      <w:r>
        <w:rPr>
          <w:rFonts w:ascii="Times New Roman" w:hAnsi="Times New Roman" w:eastAsia="맑은 고딕"/>
          <w:b/>
          <w:color w:val="000000"/>
          <w:sz w:val="22"/>
        </w:rPr>
        <w:t>4.3.3 NLI Entailment Rate</w:t>
      </w:r>
    </w:p>
    <w:p>
      <w:pPr>
        <w:spacing w:line="384" w:lineRule="auto" w:before="0" w:after="120"/>
        <w:ind w:firstLine="283"/>
        <w:jc w:val="left"/>
      </w:pPr>
      <w:r>
        <w:rPr>
          <w:rFonts w:ascii="Times New Roman" w:hAnsi="Times New Roman" w:eastAsia="맑은 고딕"/>
          <w:b w:val="0"/>
          <w:sz w:val="22"/>
        </w:rPr>
        <w:t>표 4-3은 4-mode × 2 LLM의 NLI Entailment Rate 결과를 보여준다.</w:t>
      </w:r>
    </w:p>
    <w:p>
      <w:pPr>
        <w:spacing w:line="384" w:lineRule="auto" w:before="0" w:after="120"/>
        <w:ind w:firstLine="283"/>
        <w:jc w:val="left"/>
      </w:pPr>
      <w:r>
        <w:rPr>
          <w:rFonts w:ascii="Times New Roman" w:hAnsi="Times New Roman" w:eastAsia="맑은 고딕"/>
          <w:b w:val="0"/>
          <w:sz w:val="22"/>
        </w:rPr>
        <w:t>표 4-3.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384" w:lineRule="auto" w:before="0" w:after="120"/>
        <w:ind w:firstLine="283"/>
        <w:jc w:val="left"/>
      </w:pPr>
      <w:r>
        <w:rPr>
          <w:rFonts w:ascii="Times New Roman" w:hAnsi="Times New Roman" w:eastAsia="맑은 고딕"/>
          <w:b w:val="0"/>
          <w:sz w:val="22"/>
        </w:rPr>
        <w:t>본 결과는 4가지 핵심 패턴을 보여준다.</w:t>
      </w:r>
    </w:p>
    <w:p>
      <w:pPr>
        <w:spacing w:line="384"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384"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384"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384"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3" name="Picture 3"/>
            <wp:cNvGraphicFramePr>
              <a:graphicFrameLocks noChangeAspect="1"/>
            </wp:cNvGraphicFramePr>
            <a:graphic>
              <a:graphicData uri="http://schemas.openxmlformats.org/drawingml/2006/picture">
                <pic:pic>
                  <pic:nvPicPr>
                    <pic:cNvPr id="0" name="35_generic_rag_3way.png"/>
                    <pic:cNvPicPr/>
                  </pic:nvPicPr>
                  <pic:blipFill>
                    <a:blip r:embed="rId11"/>
                    <a:stretch>
                      <a:fillRect/>
                    </a:stretch>
                  </pic:blipFill>
                  <pic:spPr>
                    <a:xfrm>
                      <a:off x="0" y="0"/>
                      <a:ext cx="5040000" cy="3791461"/>
                    </a:xfrm>
                    <a:prstGeom prst="rect"/>
                  </pic:spPr>
                </pic:pic>
              </a:graphicData>
            </a:graphic>
          </wp:inline>
        </w:drawing>
      </w:r>
    </w:p>
    <w:p>
      <w:pPr>
        <w:spacing w:line="384" w:lineRule="auto" w:before="0" w:after="240"/>
        <w:jc w:val="center"/>
      </w:pPr>
      <w:r>
        <w:rPr>
          <w:rFonts w:ascii="Times New Roman" w:hAnsi="Times New Roman" w:eastAsia="맑은 고딕"/>
          <w:b/>
          <w:sz w:val="20"/>
        </w:rPr>
        <w:t>그림 4-2. Home Credit 4-mode 자연어 설명 비교 (NLI Entailment / G-Eval Completeness / Value Match Rate)</w:t>
      </w:r>
    </w:p>
    <w:p>
      <w:pPr>
        <w:pStyle w:val="Heading3"/>
        <w:spacing w:line="384" w:lineRule="auto" w:before="240" w:after="120"/>
        <w:jc w:val="left"/>
      </w:pPr>
      <w:r>
        <w:rPr>
          <w:rFonts w:ascii="Times New Roman" w:hAnsi="Times New Roman" w:eastAsia="맑은 고딕"/>
          <w:b/>
          <w:color w:val="000000"/>
          <w:sz w:val="22"/>
        </w:rPr>
        <w:t>4.3.4 Value Match Rate</w:t>
      </w:r>
    </w:p>
    <w:p>
      <w:pPr>
        <w:spacing w:line="384" w:lineRule="auto" w:before="0" w:after="120"/>
        <w:ind w:firstLine="283"/>
        <w:jc w:val="left"/>
      </w:pPr>
      <w:r>
        <w:rPr>
          <w:rFonts w:ascii="Times New Roman" w:hAnsi="Times New Roman" w:eastAsia="맑은 고딕"/>
          <w:b w:val="0"/>
          <w:sz w:val="22"/>
        </w:rPr>
        <w:t>값 정확 인용 비율(val_match_rate)은 4-mode 차이를 더욱 뚜렷하게 보여준다(표 4-4).</w:t>
      </w:r>
    </w:p>
    <w:p>
      <w:pPr>
        <w:spacing w:line="384" w:lineRule="auto" w:before="0" w:after="120"/>
        <w:ind w:firstLine="283"/>
        <w:jc w:val="left"/>
      </w:pPr>
      <w:r>
        <w:rPr>
          <w:rFonts w:ascii="Times New Roman" w:hAnsi="Times New Roman" w:eastAsia="맑은 고딕"/>
          <w:b w:val="0"/>
          <w:sz w:val="22"/>
        </w:rPr>
        <w:t>표 4-4.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384"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384" w:lineRule="auto" w:before="240" w:after="120"/>
        <w:jc w:val="left"/>
      </w:pPr>
      <w:r>
        <w:rPr>
          <w:rFonts w:ascii="Times New Roman" w:hAnsi="Times New Roman" w:eastAsia="맑은 고딕"/>
          <w:b/>
          <w:color w:val="000000"/>
          <w:sz w:val="22"/>
        </w:rPr>
        <w:t>4.3.5 G-Eval (Cross-judge) 결과</w:t>
      </w:r>
    </w:p>
    <w:p>
      <w:pPr>
        <w:spacing w:line="384" w:lineRule="auto" w:before="0" w:after="120"/>
        <w:ind w:firstLine="283"/>
        <w:jc w:val="left"/>
      </w:pPr>
      <w:r>
        <w:rPr>
          <w:rFonts w:ascii="Times New Roman" w:hAnsi="Times New Roman" w:eastAsia="맑은 고딕"/>
          <w:b w:val="0"/>
          <w:sz w:val="22"/>
        </w:rPr>
        <w:t>표 4-5는 4-mode × 2 LLM의 G-Eval Cross-judge 평가 결과 중 핵심 4차원의 평균 점수를 보여준다.</w:t>
      </w:r>
    </w:p>
    <w:p>
      <w:pPr>
        <w:spacing w:line="384" w:lineRule="auto" w:before="0" w:after="120"/>
        <w:ind w:firstLine="283"/>
        <w:jc w:val="left"/>
      </w:pPr>
      <w:r>
        <w:rPr>
          <w:rFonts w:ascii="Times New Roman" w:hAnsi="Times New Roman" w:eastAsia="맑은 고딕"/>
          <w:b w:val="0"/>
          <w:sz w:val="22"/>
        </w:rPr>
        <w:t>표 4-5.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384" w:lineRule="auto" w:before="0" w:after="120"/>
        <w:ind w:firstLine="283"/>
        <w:jc w:val="left"/>
      </w:pPr>
      <w:r>
        <w:rPr>
          <w:rFonts w:ascii="Times New Roman" w:hAnsi="Times New Roman" w:eastAsia="맑은 고딕"/>
          <w:b w:val="0"/>
          <w:sz w:val="22"/>
        </w:rPr>
        <w:t>G-Eval 결과의 핵심 발견은 두 가지이다.</w:t>
      </w:r>
    </w:p>
    <w:p>
      <w:pPr>
        <w:spacing w:line="384"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384"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384"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384" w:lineRule="auto" w:before="240" w:after="120"/>
        <w:jc w:val="left"/>
      </w:pPr>
      <w:r>
        <w:rPr>
          <w:rFonts w:ascii="Times New Roman" w:hAnsi="Times New Roman" w:eastAsia="맑은 고딕"/>
          <w:b/>
          <w:color w:val="000000"/>
          <w:sz w:val="22"/>
        </w:rPr>
        <w:t>4.3.6 Counterfactual baseline (Step 1)</w:t>
      </w:r>
    </w:p>
    <w:p>
      <w:pPr>
        <w:spacing w:line="384"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384"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384" w:lineRule="auto" w:before="360" w:after="240"/>
        <w:jc w:val="left"/>
      </w:pPr>
      <w:r>
        <w:rPr>
          <w:rFonts w:ascii="Times New Roman" w:hAnsi="Times New Roman" w:eastAsia="맑은 고딕"/>
          <w:b/>
          <w:color w:val="000000"/>
          <w:sz w:val="26"/>
        </w:rPr>
        <w:t>4.4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4" name="Picture 4"/>
            <wp:cNvGraphicFramePr>
              <a:graphicFrameLocks noChangeAspect="1"/>
            </wp:cNvGraphicFramePr>
            <a:graphic>
              <a:graphicData uri="http://schemas.openxmlformats.org/drawingml/2006/picture">
                <pic:pic>
                  <pic:nvPicPr>
                    <pic:cNvPr id="0" name="32_cross_judge_geval.png"/>
                    <pic:cNvPicPr/>
                  </pic:nvPicPr>
                  <pic:blipFill>
                    <a:blip r:embed="rId12"/>
                    <a:stretch>
                      <a:fillRect/>
                    </a:stretch>
                  </pic:blipFill>
                  <pic:spPr>
                    <a:xfrm>
                      <a:off x="0" y="0"/>
                      <a:ext cx="5040000" cy="3857507"/>
                    </a:xfrm>
                    <a:prstGeom prst="rect"/>
                  </pic:spPr>
                </pic:pic>
              </a:graphicData>
            </a:graphic>
          </wp:inline>
        </w:drawing>
      </w:r>
    </w:p>
    <w:p>
      <w:pPr>
        <w:spacing w:line="384" w:lineRule="auto" w:before="0" w:after="240"/>
        <w:jc w:val="center"/>
      </w:pPr>
      <w:r>
        <w:rPr>
          <w:rFonts w:ascii="Times New Roman" w:hAnsi="Times New Roman" w:eastAsia="맑은 고딕"/>
          <w:b/>
          <w:sz w:val="20"/>
        </w:rPr>
        <w:t>그림 4-3. Cross-judge G-Eval 결과 — Anthropic judge와 Gemini judge의 4차원 평가 점수 비교</w:t>
      </w:r>
    </w:p>
    <w:p>
      <w:pPr>
        <w:pStyle w:val="Heading3"/>
        <w:spacing w:line="384" w:lineRule="auto" w:before="240" w:after="120"/>
        <w:jc w:val="left"/>
      </w:pPr>
      <w:r>
        <w:rPr>
          <w:rFonts w:ascii="Times New Roman" w:hAnsi="Times New Roman" w:eastAsia="맑은 고딕"/>
          <w:b/>
          <w:color w:val="000000"/>
          <w:sz w:val="22"/>
        </w:rPr>
        <w:t>4.4.1 페르소나별 trade-off</w:t>
      </w:r>
    </w:p>
    <w:p>
      <w:pPr>
        <w:spacing w:line="384" w:lineRule="auto" w:before="0" w:after="120"/>
        <w:ind w:firstLine="283"/>
        <w:jc w:val="left"/>
      </w:pPr>
      <w:r>
        <w:rPr>
          <w:rFonts w:ascii="Times New Roman" w:hAnsi="Times New Roman" w:eastAsia="맑은 고딕"/>
          <w:b w:val="0"/>
          <w:sz w:val="22"/>
        </w:rPr>
        <w:t>표 4-6은 본 연구의 Pilot Persona 평가 결과(15 instances × 4 modes × 2 LLM × 3 personas, 약 276건 유효 평가)에서 Customer clarity 차원의 평균 점수를 보여준다.</w:t>
      </w:r>
    </w:p>
    <w:p>
      <w:pPr>
        <w:spacing w:line="384" w:lineRule="auto" w:before="0" w:after="120"/>
        <w:ind w:firstLine="283"/>
        <w:jc w:val="left"/>
      </w:pPr>
      <w:r>
        <w:rPr>
          <w:rFonts w:ascii="Times New Roman" w:hAnsi="Times New Roman" w:eastAsia="맑은 고딕"/>
          <w:b w:val="0"/>
          <w:sz w:val="22"/>
        </w:rPr>
        <w:t>표 4-6.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384" w:lineRule="auto" w:before="0" w:after="120"/>
        <w:ind w:firstLine="283"/>
        <w:jc w:val="left"/>
      </w:pPr>
      <w:r>
        <w:rPr>
          <w:rFonts w:ascii="Times New Roman" w:hAnsi="Times New Roman" w:eastAsia="맑은 고딕"/>
          <w:b w:val="0"/>
          <w:sz w:val="22"/>
        </w:rPr>
        <w:t>본 결과의 핵심 발견은 다음과 같다.</w:t>
      </w:r>
    </w:p>
    <w:p>
      <w:pPr>
        <w:spacing w:line="384"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384"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384"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384"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5" name="Picture 5"/>
            <wp:cNvGraphicFramePr>
              <a:graphicFrameLocks noChangeAspect="1"/>
            </wp:cNvGraphicFramePr>
            <a:graphic>
              <a:graphicData uri="http://schemas.openxmlformats.org/drawingml/2006/picture">
                <pic:pic>
                  <pic:nvPicPr>
                    <pic:cNvPr id="0" name="36_human_proxy_personas.png"/>
                    <pic:cNvPicPr/>
                  </pic:nvPicPr>
                  <pic:blipFill>
                    <a:blip r:embed="rId13"/>
                    <a:stretch>
                      <a:fillRect/>
                    </a:stretch>
                  </pic:blipFill>
                  <pic:spPr>
                    <a:xfrm>
                      <a:off x="0" y="0"/>
                      <a:ext cx="5040000" cy="4445160"/>
                    </a:xfrm>
                    <a:prstGeom prst="rect"/>
                  </pic:spPr>
                </pic:pic>
              </a:graphicData>
            </a:graphic>
          </wp:inline>
        </w:drawing>
      </w:r>
    </w:p>
    <w:p>
      <w:pPr>
        <w:spacing w:line="384" w:lineRule="auto" w:before="0" w:after="240"/>
        <w:jc w:val="center"/>
      </w:pPr>
      <w:r>
        <w:rPr>
          <w:rFonts w:ascii="Times New Roman" w:hAnsi="Times New Roman" w:eastAsia="맑은 고딕"/>
          <w:b/>
          <w:sz w:val="20"/>
        </w:rPr>
        <w:t>그림 4-4. 3-Persona 평가 결과 — Credit Expert / Customer / Regulator 관점별 4-mode 비교 (5점 만점)</w:t>
      </w:r>
    </w:p>
    <w:p>
      <w:pPr>
        <w:pStyle w:val="Heading2"/>
        <w:spacing w:line="384" w:lineRule="auto" w:before="360" w:after="240"/>
        <w:jc w:val="left"/>
      </w:pPr>
      <w:r>
        <w:rPr>
          <w:rFonts w:ascii="Times New Roman" w:hAnsi="Times New Roman" w:eastAsia="맑은 고딕"/>
          <w:b/>
          <w:color w:val="000000"/>
          <w:sz w:val="26"/>
        </w:rPr>
        <w:t>4.5 공정성 mitigation 결과</w:t>
      </w:r>
    </w:p>
    <w:p>
      <w:pPr>
        <w:pStyle w:val="Heading3"/>
        <w:spacing w:line="384" w:lineRule="auto" w:before="240" w:after="120"/>
        <w:jc w:val="left"/>
      </w:pPr>
      <w:r>
        <w:rPr>
          <w:rFonts w:ascii="Times New Roman" w:hAnsi="Times New Roman" w:eastAsia="맑은 고딕"/>
          <w:b/>
          <w:color w:val="000000"/>
          <w:sz w:val="22"/>
        </w:rPr>
        <w:t>4.5.1 Reweighing 4/4 통과</w:t>
      </w:r>
    </w:p>
    <w:p>
      <w:pPr>
        <w:spacing w:line="384" w:lineRule="auto" w:before="0" w:after="120"/>
        <w:ind w:firstLine="283"/>
        <w:jc w:val="left"/>
      </w:pPr>
      <w:r>
        <w:rPr>
          <w:rFonts w:ascii="Times New Roman" w:hAnsi="Times New Roman" w:eastAsia="맑은 고딕"/>
          <w:b w:val="0"/>
          <w:sz w:val="22"/>
        </w:rPr>
        <w:t>표 4-7은 본 연구의 Reweighing 기반 공정성 보정 결과를 보여준다. 보호 속성(GENDER, AGE) × 데이터셋(baseline, aux)의 4가지 조합에 대한 결과이다.</w:t>
      </w:r>
    </w:p>
    <w:p>
      <w:pPr>
        <w:spacing w:line="384" w:lineRule="auto" w:before="0" w:after="120"/>
        <w:ind w:firstLine="283"/>
        <w:jc w:val="left"/>
      </w:pPr>
      <w:r>
        <w:rPr>
          <w:rFonts w:ascii="Times New Roman" w:hAnsi="Times New Roman" w:eastAsia="맑은 고딕"/>
          <w:b w:val="0"/>
          <w:sz w:val="22"/>
        </w:rPr>
        <w:t>표 4-7.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384"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6" name="Picture 6"/>
            <wp:cNvGraphicFramePr>
              <a:graphicFrameLocks noChangeAspect="1"/>
            </wp:cNvGraphicFramePr>
            <a:graphic>
              <a:graphicData uri="http://schemas.openxmlformats.org/drawingml/2006/picture">
                <pic:pic>
                  <pic:nvPicPr>
                    <pic:cNvPr id="0" name="34_mitigation_bars.png"/>
                    <pic:cNvPicPr/>
                  </pic:nvPicPr>
                  <pic:blipFill>
                    <a:blip r:embed="rId14"/>
                    <a:stretch>
                      <a:fillRect/>
                    </a:stretch>
                  </pic:blipFill>
                  <pic:spPr>
                    <a:xfrm>
                      <a:off x="0" y="0"/>
                      <a:ext cx="5040000" cy="4878996"/>
                    </a:xfrm>
                    <a:prstGeom prst="rect"/>
                  </pic:spPr>
                </pic:pic>
              </a:graphicData>
            </a:graphic>
          </wp:inline>
        </w:drawing>
      </w:r>
    </w:p>
    <w:p>
      <w:pPr>
        <w:spacing w:line="384" w:lineRule="auto" w:before="0" w:after="240"/>
        <w:jc w:val="center"/>
      </w:pPr>
      <w:r>
        <w:rPr>
          <w:rFonts w:ascii="Times New Roman" w:hAnsi="Times New Roman" w:eastAsia="맑은 고딕"/>
          <w:b/>
          <w:sz w:val="20"/>
        </w:rPr>
        <w:t>그림 4-5. Reweighing 공정성 보정 결과 — 4가지 보호 속성 × 데이터셋 조합에서 AUROC와 Disparate Impact ratio의 변화</w:t>
      </w:r>
    </w:p>
    <w:p>
      <w:pPr>
        <w:pStyle w:val="Heading3"/>
        <w:spacing w:line="384" w:lineRule="auto" w:before="240" w:after="120"/>
        <w:jc w:val="left"/>
      </w:pPr>
      <w:r>
        <w:rPr>
          <w:rFonts w:ascii="Times New Roman" w:hAnsi="Times New Roman" w:eastAsia="맑은 고딕"/>
          <w:b/>
          <w:color w:val="000000"/>
          <w:sz w:val="22"/>
        </w:rPr>
        <w:t>4.5.2 Fairlearn ExpGrad 비교</w:t>
      </w:r>
    </w:p>
    <w:p>
      <w:pPr>
        <w:spacing w:line="384"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384"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384" w:lineRule="auto" w:before="240" w:after="120"/>
        <w:jc w:val="left"/>
      </w:pPr>
      <w:r>
        <w:rPr>
          <w:rFonts w:ascii="Times New Roman" w:hAnsi="Times New Roman" w:eastAsia="맑은 고딕"/>
          <w:b/>
          <w:color w:val="000000"/>
          <w:sz w:val="22"/>
        </w:rPr>
        <w:t>4.5.3 Day 5 결론의 갱신</w:t>
      </w:r>
    </w:p>
    <w:p>
      <w:pPr>
        <w:spacing w:line="384"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384" w:lineRule="auto" w:before="360" w:after="240"/>
        <w:jc w:val="left"/>
      </w:pPr>
      <w:r>
        <w:rPr>
          <w:rFonts w:ascii="Times New Roman" w:hAnsi="Times New Roman" w:eastAsia="맑은 고딕"/>
          <w:b/>
          <w:color w:val="000000"/>
          <w:sz w:val="26"/>
        </w:rPr>
        <w:t>4.6 일반화 검증 (UCI German Credit)</w:t>
      </w:r>
    </w:p>
    <w:p>
      <w:pPr>
        <w:pStyle w:val="Heading3"/>
        <w:spacing w:line="384" w:lineRule="auto" w:before="240" w:after="120"/>
        <w:jc w:val="left"/>
      </w:pPr>
      <w:r>
        <w:rPr>
          <w:rFonts w:ascii="Times New Roman" w:hAnsi="Times New Roman" w:eastAsia="맑은 고딕"/>
          <w:b/>
          <w:color w:val="000000"/>
          <w:sz w:val="22"/>
        </w:rPr>
        <w:t>4.6.1 SHAP × 어텐션 일관성의 데이터셋 간 일관</w:t>
      </w:r>
    </w:p>
    <w:p>
      <w:pPr>
        <w:spacing w:line="384" w:lineRule="auto" w:before="0" w:after="120"/>
        <w:ind w:firstLine="283"/>
        <w:jc w:val="left"/>
      </w:pPr>
      <w:r>
        <w:rPr>
          <w:rFonts w:ascii="Times New Roman" w:hAnsi="Times New Roman" w:eastAsia="맑은 고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384"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pStyle w:val="Heading3"/>
        <w:spacing w:line="384" w:lineRule="auto" w:before="240" w:after="120"/>
        <w:jc w:val="left"/>
      </w:pPr>
      <w:r>
        <w:rPr>
          <w:rFonts w:ascii="Times New Roman" w:hAnsi="Times New Roman" w:eastAsia="맑은 고딕"/>
          <w:b/>
          <w:color w:val="000000"/>
          <w:sz w:val="22"/>
        </w:rPr>
        <w:t>4.6.2 4-mode NLI Entailment의 데이터셋 간 일관</w:t>
      </w:r>
    </w:p>
    <w:p>
      <w:pPr>
        <w:spacing w:line="384" w:lineRule="auto" w:before="0" w:after="120"/>
        <w:ind w:firstLine="283"/>
        <w:jc w:val="left"/>
      </w:pPr>
      <w:r>
        <w:rPr>
          <w:rFonts w:ascii="Times New Roman" w:hAnsi="Times New Roman" w:eastAsia="맑은 고딕"/>
          <w:b w:val="0"/>
          <w:sz w:val="22"/>
        </w:rPr>
        <w:t>표 4-8은 두 데이터셋의 4-mode NLI Entailment Rate 비교이다(양 LLM 평균).</w:t>
      </w:r>
    </w:p>
    <w:p>
      <w:pPr>
        <w:spacing w:line="384" w:lineRule="auto" w:before="0" w:after="120"/>
        <w:ind w:firstLine="283"/>
        <w:jc w:val="left"/>
      </w:pPr>
      <w:r>
        <w:rPr>
          <w:rFonts w:ascii="Times New Roman" w:hAnsi="Times New Roman" w:eastAsia="맑은 고딕"/>
          <w:b w:val="0"/>
          <w:sz w:val="22"/>
        </w:rPr>
        <w:t>표 4-8.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384"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384" w:lineRule="auto" w:before="240" w:after="120"/>
        <w:jc w:val="left"/>
      </w:pPr>
      <w:r>
        <w:rPr>
          <w:rFonts w:ascii="Times New Roman" w:hAnsi="Times New Roman" w:eastAsia="맑은 고딕"/>
          <w:b/>
          <w:color w:val="000000"/>
          <w:sz w:val="22"/>
        </w:rPr>
        <w:t>4.6.3 G-Eval Completeness의 데이터셋별 차이</w:t>
      </w:r>
    </w:p>
    <w:p>
      <w:pPr>
        <w:spacing w:line="384" w:lineRule="auto" w:before="0" w:after="120"/>
        <w:ind w:firstLine="283"/>
        <w:jc w:val="left"/>
      </w:pPr>
      <w:r>
        <w:rPr>
          <w:rFonts w:ascii="Times New Roman" w:hAnsi="Times New Roman" w:eastAsia="맑은 고딕"/>
          <w:b w:val="0"/>
          <w:sz w:val="22"/>
        </w:rPr>
        <w:t>표 4-9는 두 데이터셋의 G-Eval Completeness 비교이다.</w:t>
      </w:r>
    </w:p>
    <w:p>
      <w:pPr>
        <w:spacing w:line="384" w:lineRule="auto" w:before="0" w:after="120"/>
        <w:ind w:firstLine="283"/>
        <w:jc w:val="left"/>
      </w:pPr>
      <w:r>
        <w:rPr>
          <w:rFonts w:ascii="Times New Roman" w:hAnsi="Times New Roman" w:eastAsia="맑은 고딕"/>
          <w:b w:val="0"/>
          <w:sz w:val="22"/>
        </w:rPr>
        <w:t>표 4-9.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384"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384"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384"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384" w:lineRule="auto" w:before="240" w:after="120"/>
        <w:jc w:val="left"/>
      </w:pPr>
      <w:r>
        <w:rPr>
          <w:rFonts w:ascii="Times New Roman" w:hAnsi="Times New Roman" w:eastAsia="맑은 고딕"/>
          <w:b/>
          <w:color w:val="000000"/>
          <w:sz w:val="22"/>
        </w:rPr>
        <w:t>4.6.4 일반화 검증의 종합 평가</w:t>
      </w:r>
    </w:p>
    <w:p>
      <w:pPr>
        <w:spacing w:line="384" w:lineRule="auto" w:before="0" w:after="120"/>
        <w:ind w:firstLine="283"/>
        <w:jc w:val="left"/>
      </w:pPr>
      <w:r>
        <w:rPr>
          <w:rFonts w:ascii="Times New Roman" w:hAnsi="Times New Roman" w:eastAsia="맑은 고딕"/>
          <w:b w:val="0"/>
          <w:sz w:val="22"/>
        </w:rPr>
        <w:t>표 4-10은 두 데이터셋의 핵심 지표 비교를 종합한 것이다.</w:t>
      </w:r>
    </w:p>
    <w:p>
      <w:pPr>
        <w:spacing w:line="384" w:lineRule="auto" w:before="0" w:after="120"/>
        <w:ind w:firstLine="283"/>
        <w:jc w:val="left"/>
      </w:pPr>
      <w:r>
        <w:rPr>
          <w:rFonts w:ascii="Times New Roman" w:hAnsi="Times New Roman" w:eastAsia="맑은 고딕"/>
          <w:b w:val="0"/>
          <w:sz w:val="22"/>
        </w:rPr>
        <w:t>표 4-10.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384"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7" name="Picture 7"/>
            <wp:cNvGraphicFramePr>
              <a:graphicFrameLocks noChangeAspect="1"/>
            </wp:cNvGraphicFramePr>
            <a:graphic>
              <a:graphicData uri="http://schemas.openxmlformats.org/drawingml/2006/picture">
                <pic:pic>
                  <pic:nvPicPr>
                    <pic:cNvPr id="0" name="41_generalization.png"/>
                    <pic:cNvPicPr/>
                  </pic:nvPicPr>
                  <pic:blipFill>
                    <a:blip r:embed="rId15"/>
                    <a:stretch>
                      <a:fillRect/>
                    </a:stretch>
                  </pic:blipFill>
                  <pic:spPr>
                    <a:xfrm>
                      <a:off x="0" y="0"/>
                      <a:ext cx="5040000" cy="3640945"/>
                    </a:xfrm>
                    <a:prstGeom prst="rect"/>
                  </pic:spPr>
                </pic:pic>
              </a:graphicData>
            </a:graphic>
          </wp:inline>
        </w:drawing>
      </w:r>
    </w:p>
    <w:p>
      <w:pPr>
        <w:spacing w:line="384" w:lineRule="auto" w:before="0" w:after="240"/>
        <w:jc w:val="center"/>
      </w:pPr>
      <w:r>
        <w:rPr>
          <w:rFonts w:ascii="Times New Roman" w:hAnsi="Times New Roman" w:eastAsia="맑은 고딕"/>
          <w:b/>
          <w:sz w:val="20"/>
        </w:rPr>
        <w:t>그림 4-6. Home Credit vs UCI German Credit 일반화 검증 — 4-mode × 양 데이터셋 핵심 지표 비교</w:t>
      </w:r>
    </w:p>
    <w:p>
      <w:pPr>
        <w:pStyle w:val="Heading2"/>
        <w:spacing w:line="384" w:lineRule="auto" w:before="360" w:after="240"/>
        <w:jc w:val="left"/>
      </w:pPr>
      <w:r>
        <w:rPr>
          <w:rFonts w:ascii="Times New Roman" w:hAnsi="Times New Roman" w:eastAsia="맑은 고딕"/>
          <w:b/>
          <w:color w:val="000000"/>
          <w:sz w:val="26"/>
        </w:rPr>
        <w:t>4.7 분석 결과 종합</w:t>
      </w:r>
    </w:p>
    <w:p>
      <w:pPr>
        <w:spacing w:line="384"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384"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384"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384"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384"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384"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384"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384"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pStyle w:val="Heading1"/>
        <w:spacing w:line="384" w:lineRule="auto" w:before="480" w:after="360"/>
        <w:jc w:val="center"/>
      </w:pPr>
      <w:r>
        <w:rPr>
          <w:rFonts w:ascii="Times New Roman" w:hAnsi="Times New Roman" w:eastAsia="맑은 고딕"/>
          <w:b/>
          <w:color w:val="000000"/>
          <w:sz w:val="32"/>
        </w:rPr>
        <w:t>제 5 장. 결론 및 시사점</w:t>
      </w:r>
    </w:p>
    <w:p>
      <w:pPr>
        <w:spacing w:line="384" w:lineRule="auto" w:before="0" w:after="240"/>
        <w:ind w:firstLine="283"/>
        <w:jc w:val="left"/>
      </w:pPr>
      <w:r>
        <w:rPr>
          <w:rFonts w:ascii="Times New Roman" w:hAnsi="Times New Roman" w:eastAsia="맑은 고딕"/>
          <w:b w:val="0"/>
          <w:sz w:val="22"/>
        </w:rPr>
        <w:t>본 장은 본 연구의 핵심 발견과 한계를 honest reporting의 관점에서 정리(5.1)하고, 이를 바탕으로 학술적·산업적 결론과 향후 연구 방향(5.2)을 제시한다.</w:t>
      </w:r>
    </w:p>
    <w:p>
      <w:pPr>
        <w:spacing w:line="384"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pStyle w:val="Heading3"/>
        <w:spacing w:line="384" w:lineRule="auto" w:before="240" w:after="120"/>
        <w:jc w:val="left"/>
      </w:pPr>
      <w:r>
        <w:rPr>
          <w:rFonts w:ascii="Times New Roman" w:hAnsi="Times New Roman" w:eastAsia="맑은 고딕"/>
          <w:b/>
          <w:color w:val="000000"/>
          <w:sz w:val="22"/>
        </w:rPr>
        <w:t>5.1.1 본 연구의 핵심 발견</w:t>
      </w:r>
    </w:p>
    <w:p>
      <w:pPr>
        <w:spacing w:line="384" w:lineRule="auto" w:before="200" w:after="80"/>
        <w:jc w:val="left"/>
      </w:pPr>
      <w:r>
        <w:rPr>
          <w:rFonts w:ascii="Times New Roman" w:hAnsi="Times New Roman" w:eastAsia="맑은 고딕"/>
          <w:b/>
          <w:sz w:val="22"/>
        </w:rPr>
        <w:t>(a) Fusion 메커니즘의 일관 우월성</w:t>
      </w:r>
    </w:p>
    <w:p>
      <w:pPr>
        <w:spacing w:line="384"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384"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spacing w:line="384" w:lineRule="auto" w:before="200" w:after="80"/>
        <w:jc w:val="left"/>
      </w:pPr>
      <w:r>
        <w:rPr>
          <w:rFonts w:ascii="Times New Roman" w:hAnsi="Times New Roman" w:eastAsia="맑은 고딕"/>
          <w:b/>
          <w:sz w:val="22"/>
        </w:rPr>
        <w:t>(b) 환각 차단과 fact-grounding의 분리</w:t>
      </w:r>
    </w:p>
    <w:p>
      <w:pPr>
        <w:spacing w:line="384"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384"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spacing w:line="384" w:lineRule="auto" w:before="200" w:after="80"/>
        <w:jc w:val="left"/>
      </w:pPr>
      <w:r>
        <w:rPr>
          <w:rFonts w:ascii="Times New Roman" w:hAnsi="Times New Roman" w:eastAsia="맑은 고딕"/>
          <w:b/>
          <w:sz w:val="22"/>
        </w:rPr>
        <w:t>(c) 데이터 복잡도에 따른 모드 선택 trade-off</w:t>
      </w:r>
    </w:p>
    <w:p>
      <w:pPr>
        <w:spacing w:line="384"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384"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spacing w:line="384" w:lineRule="auto" w:before="200" w:after="80"/>
        <w:jc w:val="left"/>
      </w:pPr>
      <w:r>
        <w:rPr>
          <w:rFonts w:ascii="Times New Roman" w:hAnsi="Times New Roman" w:eastAsia="맑은 고딕"/>
          <w:b/>
          <w:sz w:val="22"/>
        </w:rPr>
        <w:t>(d) 사실성과 친화성의 trade-off</w:t>
      </w:r>
    </w:p>
    <w:p>
      <w:pPr>
        <w:spacing w:line="384"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384"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3"/>
        <w:spacing w:line="384" w:lineRule="auto" w:before="240" w:after="120"/>
        <w:jc w:val="left"/>
      </w:pPr>
      <w:r>
        <w:rPr>
          <w:rFonts w:ascii="Times New Roman" w:hAnsi="Times New Roman" w:eastAsia="맑은 고딕"/>
          <w:b/>
          <w:color w:val="000000"/>
          <w:sz w:val="22"/>
        </w:rPr>
        <w:t>5.1.2 응용 시사점</w:t>
      </w:r>
    </w:p>
    <w:p>
      <w:pPr>
        <w:spacing w:line="384" w:lineRule="auto" w:before="200" w:after="80"/>
        <w:jc w:val="left"/>
      </w:pPr>
      <w:r>
        <w:rPr>
          <w:rFonts w:ascii="Times New Roman" w:hAnsi="Times New Roman" w:eastAsia="맑은 고딕"/>
          <w:b/>
          <w:sz w:val="22"/>
        </w:rPr>
        <w:t>(a) 응용 시나리오별 모드 선택 가이드</w:t>
      </w:r>
    </w:p>
    <w:p>
      <w:pPr>
        <w:spacing w:line="384"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384"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384"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384"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spacing w:line="384" w:lineRule="auto" w:before="200" w:after="80"/>
        <w:jc w:val="left"/>
      </w:pPr>
      <w:r>
        <w:rPr>
          <w:rFonts w:ascii="Times New Roman" w:hAnsi="Times New Roman" w:eastAsia="맑은 고딕"/>
          <w:b/>
          <w:sz w:val="22"/>
        </w:rPr>
        <w:t>(b) hard constraint의 산업 적용</w:t>
      </w:r>
    </w:p>
    <w:p>
      <w:pPr>
        <w:spacing w:line="384"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spacing w:line="384" w:lineRule="auto" w:before="200" w:after="80"/>
        <w:jc w:val="left"/>
      </w:pPr>
      <w:r>
        <w:rPr>
          <w:rFonts w:ascii="Times New Roman" w:hAnsi="Times New Roman" w:eastAsia="맑은 고딕"/>
          <w:b/>
          <w:sz w:val="22"/>
        </w:rPr>
        <w:t>(c) 공정성 보정의 무손실 적용</w:t>
      </w:r>
    </w:p>
    <w:p>
      <w:pPr>
        <w:spacing w:line="384"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3"/>
        <w:spacing w:line="384" w:lineRule="auto" w:before="240" w:after="120"/>
        <w:jc w:val="left"/>
      </w:pPr>
      <w:r>
        <w:rPr>
          <w:rFonts w:ascii="Times New Roman" w:hAnsi="Times New Roman" w:eastAsia="맑은 고딕"/>
          <w:b/>
          <w:color w:val="000000"/>
          <w:sz w:val="22"/>
        </w:rPr>
        <w:t>5.1.3 본 연구의 한계 (Honest Reporting)</w:t>
      </w:r>
    </w:p>
    <w:p>
      <w:pPr>
        <w:spacing w:line="384"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spacing w:line="384" w:lineRule="auto" w:before="200" w:after="80"/>
        <w:jc w:val="left"/>
      </w:pPr>
      <w:r>
        <w:rPr>
          <w:rFonts w:ascii="Times New Roman" w:hAnsi="Times New Roman" w:eastAsia="맑은 고딕"/>
          <w:b/>
          <w:sz w:val="22"/>
        </w:rPr>
        <w:t>(a) 표본 크기의 한계</w:t>
      </w:r>
    </w:p>
    <w:p>
      <w:pPr>
        <w:spacing w:line="384"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spacing w:line="384" w:lineRule="auto" w:before="200" w:after="80"/>
        <w:jc w:val="left"/>
      </w:pPr>
      <w:r>
        <w:rPr>
          <w:rFonts w:ascii="Times New Roman" w:hAnsi="Times New Roman" w:eastAsia="맑은 고딕"/>
          <w:b/>
          <w:sz w:val="22"/>
        </w:rPr>
        <w:t>(b) 정식 IRB 인간평가의 부재</w:t>
      </w:r>
    </w:p>
    <w:p>
      <w:pPr>
        <w:spacing w:line="384"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spacing w:line="384" w:lineRule="auto" w:before="200" w:after="80"/>
        <w:jc w:val="left"/>
      </w:pPr>
      <w:r>
        <w:rPr>
          <w:rFonts w:ascii="Times New Roman" w:hAnsi="Times New Roman" w:eastAsia="맑은 고딕"/>
          <w:b/>
          <w:sz w:val="22"/>
        </w:rPr>
        <w:t>(c) Hard Constraint 의존성</w:t>
      </w:r>
    </w:p>
    <w:p>
      <w:pPr>
        <w:spacing w:line="384"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spacing w:line="384" w:lineRule="auto" w:before="200" w:after="80"/>
        <w:jc w:val="left"/>
      </w:pPr>
      <w:r>
        <w:rPr>
          <w:rFonts w:ascii="Times New Roman" w:hAnsi="Times New Roman" w:eastAsia="맑은 고딕"/>
          <w:b/>
          <w:sz w:val="22"/>
        </w:rPr>
        <w:t>(d) Customer Clarity 약점</w:t>
      </w:r>
    </w:p>
    <w:p>
      <w:pPr>
        <w:spacing w:line="384"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spacing w:line="384" w:lineRule="auto" w:before="200" w:after="80"/>
        <w:jc w:val="left"/>
      </w:pPr>
      <w:r>
        <w:rPr>
          <w:rFonts w:ascii="Times New Roman" w:hAnsi="Times New Roman" w:eastAsia="맑은 고딕"/>
          <w:b/>
          <w:sz w:val="22"/>
        </w:rPr>
        <w:t>(e) 한국어 humanize 매핑 의존성</w:t>
      </w:r>
    </w:p>
    <w:p>
      <w:pPr>
        <w:spacing w:line="384"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spacing w:line="384" w:lineRule="auto" w:before="200" w:after="80"/>
        <w:jc w:val="left"/>
      </w:pPr>
      <w:r>
        <w:rPr>
          <w:rFonts w:ascii="Times New Roman" w:hAnsi="Times New Roman" w:eastAsia="맑은 고딕"/>
          <w:b/>
          <w:sz w:val="22"/>
        </w:rPr>
        <w:t>(f) 평가 도구 자체의 한계</w:t>
      </w:r>
    </w:p>
    <w:p>
      <w:pPr>
        <w:spacing w:line="384"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3"/>
        <w:spacing w:line="384" w:lineRule="auto" w:before="240" w:after="120"/>
        <w:jc w:val="left"/>
      </w:pPr>
      <w:r>
        <w:rPr>
          <w:rFonts w:ascii="Times New Roman" w:hAnsi="Times New Roman" w:eastAsia="맑은 고딕"/>
          <w:b/>
          <w:color w:val="000000"/>
          <w:sz w:val="22"/>
        </w:rPr>
        <w:t>5.1.4 향후 연구 방향</w:t>
      </w:r>
    </w:p>
    <w:p>
      <w:pPr>
        <w:spacing w:line="384"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spacing w:line="384" w:lineRule="auto" w:before="200" w:after="80"/>
        <w:jc w:val="left"/>
      </w:pPr>
      <w:r>
        <w:rPr>
          <w:rFonts w:ascii="Times New Roman" w:hAnsi="Times New Roman" w:eastAsia="맑은 고딕"/>
          <w:b/>
          <w:sz w:val="22"/>
        </w:rPr>
        <w:t>(a) 정식 IRB 인간 평가</w:t>
      </w:r>
    </w:p>
    <w:p>
      <w:pPr>
        <w:spacing w:line="384"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spacing w:line="384" w:lineRule="auto" w:before="200" w:after="80"/>
        <w:jc w:val="left"/>
      </w:pPr>
      <w:r>
        <w:rPr>
          <w:rFonts w:ascii="Times New Roman" w:hAnsi="Times New Roman" w:eastAsia="맑은 고딕"/>
          <w:b/>
          <w:sz w:val="22"/>
        </w:rPr>
        <w:t>(b) 추가 데이터셋 일반화</w:t>
      </w:r>
    </w:p>
    <w:p>
      <w:pPr>
        <w:spacing w:line="384"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384"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384" w:lineRule="auto" w:before="0" w:after="120"/>
        <w:ind w:firstLine="283"/>
        <w:jc w:val="left"/>
      </w:pPr>
      <w:r>
        <w:rPr>
          <w:rFonts w:ascii="Times New Roman" w:hAnsi="Times New Roman" w:eastAsia="맑은 고딕"/>
          <w:b w:val="0"/>
          <w:sz w:val="22"/>
        </w:rPr>
        <w:t>• Lending Club (~1.3M × 150): 미국 P2P 대출 도메인, 대규모</w:t>
      </w:r>
    </w:p>
    <w:p>
      <w:pPr>
        <w:spacing w:line="384"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384"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spacing w:line="384" w:lineRule="auto" w:before="200" w:after="80"/>
        <w:jc w:val="left"/>
      </w:pPr>
      <w:r>
        <w:rPr>
          <w:rFonts w:ascii="Times New Roman" w:hAnsi="Times New Roman" w:eastAsia="맑은 고딕"/>
          <w:b/>
          <w:sz w:val="22"/>
        </w:rPr>
        <w:t>(c) 3-way Ablation (Attention 단독 검증)</w:t>
      </w:r>
    </w:p>
    <w:p>
      <w:pPr>
        <w:spacing w:line="384"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spacing w:line="384" w:lineRule="auto" w:before="200" w:after="80"/>
        <w:jc w:val="left"/>
      </w:pPr>
      <w:r>
        <w:rPr>
          <w:rFonts w:ascii="Times New Roman" w:hAnsi="Times New Roman" w:eastAsia="맑은 고딕"/>
          <w:b/>
          <w:sz w:val="22"/>
        </w:rPr>
        <w:t>(d) Customer-friendly 표현 정제</w:t>
      </w:r>
    </w:p>
    <w:p>
      <w:pPr>
        <w:spacing w:line="384"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384"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384"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384" w:lineRule="auto" w:before="0" w:after="120"/>
        <w:ind w:firstLine="283"/>
        <w:jc w:val="left"/>
      </w:pPr>
      <w:r>
        <w:rPr>
          <w:rFonts w:ascii="Times New Roman" w:hAnsi="Times New Roman" w:eastAsia="맑은 고딕"/>
          <w:b w:val="0"/>
          <w:sz w:val="22"/>
        </w:rPr>
        <w:t>• 정성 표현의 도입: "매우 큰 영향(SHAP 0.95)" 등</w:t>
      </w:r>
    </w:p>
    <w:p>
      <w:pPr>
        <w:spacing w:line="384"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spacing w:line="384" w:lineRule="auto" w:before="200" w:after="80"/>
        <w:jc w:val="left"/>
      </w:pPr>
      <w:r>
        <w:rPr>
          <w:rFonts w:ascii="Times New Roman" w:hAnsi="Times New Roman" w:eastAsia="맑은 고딕"/>
          <w:b/>
          <w:sz w:val="22"/>
        </w:rPr>
        <w:t>(e) 평가 도구의 다중화</w:t>
      </w:r>
    </w:p>
    <w:p>
      <w:pPr>
        <w:spacing w:line="384"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384"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384"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384"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spacing w:line="384" w:lineRule="auto" w:before="200" w:after="80"/>
        <w:jc w:val="left"/>
      </w:pPr>
      <w:r>
        <w:rPr>
          <w:rFonts w:ascii="Times New Roman" w:hAnsi="Times New Roman" w:eastAsia="맑은 고딕"/>
          <w:b/>
          <w:sz w:val="22"/>
        </w:rPr>
        <w:t>(f) 보조 테이블의 활용 확장</w:t>
      </w:r>
    </w:p>
    <w:p>
      <w:pPr>
        <w:spacing w:line="384"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3"/>
        <w:spacing w:line="384" w:lineRule="auto" w:before="240" w:after="120"/>
        <w:jc w:val="left"/>
      </w:pPr>
      <w:r>
        <w:rPr>
          <w:rFonts w:ascii="Times New Roman" w:hAnsi="Times New Roman" w:eastAsia="맑은 고딕"/>
          <w:b/>
          <w:color w:val="000000"/>
          <w:sz w:val="22"/>
        </w:rPr>
        <w:t>5.1.5 종합 정리</w:t>
      </w:r>
    </w:p>
    <w:p>
      <w:pPr>
        <w:spacing w:line="384"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pPr>
        <w:pStyle w:val="Heading3"/>
        <w:spacing w:line="384" w:lineRule="auto" w:before="240" w:after="120"/>
        <w:jc w:val="left"/>
      </w:pPr>
      <w:r>
        <w:rPr>
          <w:rFonts w:ascii="Times New Roman" w:hAnsi="Times New Roman" w:eastAsia="맑은 고딕"/>
          <w:b/>
          <w:color w:val="000000"/>
          <w:sz w:val="22"/>
        </w:rPr>
        <w:t>5.2.1 연구 요약</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384"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384" w:lineRule="auto" w:before="0" w:after="120"/>
        <w:ind w:firstLine="283"/>
        <w:jc w:val="left"/>
      </w:pPr>
      <w:r>
        <w:rPr>
          <w:rFonts w:ascii="Times New Roman" w:hAnsi="Times New Roman" w:eastAsia="맑은 고딕"/>
          <w:b w:val="0"/>
          <w:sz w:val="22"/>
        </w:rPr>
        <w:t>주요 결과는 다음과 같다.</w:t>
      </w:r>
    </w:p>
    <w:p>
      <w:pPr>
        <w:spacing w:line="384"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384"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384"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384"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384"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384"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384"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3"/>
        <w:spacing w:line="384" w:lineRule="auto" w:before="240" w:after="120"/>
        <w:jc w:val="left"/>
      </w:pPr>
      <w:r>
        <w:rPr>
          <w:rFonts w:ascii="Times New Roman" w:hAnsi="Times New Roman" w:eastAsia="맑은 고딕"/>
          <w:b/>
          <w:color w:val="000000"/>
          <w:sz w:val="22"/>
        </w:rPr>
        <w:t>5.2.2 본 연구의 학술적 기여</w:t>
      </w:r>
    </w:p>
    <w:p>
      <w:pPr>
        <w:spacing w:line="384" w:lineRule="auto" w:before="0" w:after="120"/>
        <w:ind w:firstLine="283"/>
        <w:jc w:val="left"/>
      </w:pPr>
      <w:r>
        <w:rPr>
          <w:rFonts w:ascii="Times New Roman" w:hAnsi="Times New Roman" w:eastAsia="맑은 고딕"/>
          <w:b w:val="0"/>
          <w:sz w:val="22"/>
        </w:rPr>
        <w:t>본 연구는 다음과 같은 다섯 가지 학술적 기여를 제시한다.</w:t>
      </w:r>
    </w:p>
    <w:p>
      <w:pPr>
        <w:spacing w:line="384" w:lineRule="auto" w:before="200" w:after="80"/>
        <w:jc w:val="left"/>
      </w:pPr>
      <w:r>
        <w:rPr>
          <w:rFonts w:ascii="Times New Roman" w:hAnsi="Times New Roman" w:eastAsia="맑은 고딕"/>
          <w:b/>
          <w:sz w:val="22"/>
        </w:rPr>
        <w:t>(a) Agreement-aware Fusion Context의 신규 설계 (C1)</w:t>
      </w:r>
    </w:p>
    <w:p>
      <w:pPr>
        <w:spacing w:line="384"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spacing w:line="384" w:lineRule="auto" w:before="200" w:after="80"/>
        <w:jc w:val="left"/>
      </w:pPr>
      <w:r>
        <w:rPr>
          <w:rFonts w:ascii="Times New Roman" w:hAnsi="Times New Roman" w:eastAsia="맑은 고딕"/>
          <w:b/>
          <w:sz w:val="22"/>
        </w:rPr>
        <w:t>(b) 4-tier 다중 평가 프레임워크 구축 (C2)</w:t>
      </w:r>
    </w:p>
    <w:p>
      <w:pPr>
        <w:spacing w:line="384"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spacing w:line="384" w:lineRule="auto" w:before="200" w:after="80"/>
        <w:jc w:val="left"/>
      </w:pPr>
      <w:r>
        <w:rPr>
          <w:rFonts w:ascii="Times New Roman" w:hAnsi="Times New Roman" w:eastAsia="맑은 고딕"/>
          <w:b/>
          <w:sz w:val="22"/>
        </w:rPr>
        <w:t>(c) 환각 차단 vs fact-grounding의 분리 입증 (C3)</w:t>
      </w:r>
    </w:p>
    <w:p>
      <w:pPr>
        <w:spacing w:line="384"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spacing w:line="384" w:lineRule="auto" w:before="200" w:after="80"/>
        <w:jc w:val="left"/>
      </w:pPr>
      <w:r>
        <w:rPr>
          <w:rFonts w:ascii="Times New Roman" w:hAnsi="Times New Roman" w:eastAsia="맑은 고딕"/>
          <w:b/>
          <w:sz w:val="22"/>
        </w:rPr>
        <w:t>(d) 일반화 검증 (C4)</w:t>
      </w:r>
    </w:p>
    <w:p>
      <w:pPr>
        <w:spacing w:line="384"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spacing w:line="384" w:lineRule="auto" w:before="200" w:after="80"/>
        <w:jc w:val="left"/>
      </w:pPr>
      <w:r>
        <w:rPr>
          <w:rFonts w:ascii="Times New Roman" w:hAnsi="Times New Roman" w:eastAsia="맑은 고딕"/>
          <w:b/>
          <w:sz w:val="22"/>
        </w:rPr>
        <w:t>(e) 공정성 보정의 무손실 적용 (C5)</w:t>
      </w:r>
    </w:p>
    <w:p>
      <w:pPr>
        <w:spacing w:line="384"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3"/>
        <w:spacing w:line="384" w:lineRule="auto" w:before="240" w:after="120"/>
        <w:jc w:val="left"/>
      </w:pPr>
      <w:r>
        <w:rPr>
          <w:rFonts w:ascii="Times New Roman" w:hAnsi="Times New Roman" w:eastAsia="맑은 고딕"/>
          <w:b/>
          <w:color w:val="000000"/>
          <w:sz w:val="22"/>
        </w:rPr>
        <w:t>5.2.3 산업적 시사점</w:t>
      </w:r>
    </w:p>
    <w:p>
      <w:pPr>
        <w:spacing w:line="384"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384"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384"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384"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384"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3"/>
        <w:spacing w:line="384" w:lineRule="auto" w:before="240" w:after="120"/>
        <w:jc w:val="left"/>
      </w:pPr>
      <w:r>
        <w:rPr>
          <w:rFonts w:ascii="Times New Roman" w:hAnsi="Times New Roman" w:eastAsia="맑은 고딕"/>
          <w:b/>
          <w:color w:val="000000"/>
          <w:sz w:val="22"/>
        </w:rPr>
        <w:t>5.2.4 마무리</w:t>
      </w:r>
    </w:p>
    <w:p>
      <w:pPr>
        <w:spacing w:line="384"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384"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384"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384" w:lineRule="auto" w:before="480" w:after="360"/>
        <w:jc w:val="center"/>
      </w:pPr>
      <w:r>
        <w:rPr>
          <w:rFonts w:ascii="Times New Roman" w:hAnsi="Times New Roman" w:eastAsia="맑은 고딕"/>
          <w:b/>
          <w:color w:val="000000"/>
          <w:sz w:val="32"/>
        </w:rPr>
        <w:t>참고문헌 (References, IEEE Style)</w:t>
      </w:r>
    </w:p>
    <w:p>
      <w:pPr>
        <w:spacing w:line="360" w:lineRule="auto" w:before="120" w:after="120"/>
        <w:jc w:val="center"/>
      </w:pPr>
      <w:r>
        <w:rPr>
          <w:rFonts w:ascii="Times New Roman" w:hAnsi="Times New Roman" w:eastAsia="맑은 고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맑은 고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맑은 고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맑은 고딕"/>
          <w:b w:val="0"/>
          <w:i/>
          <w:sz w:val="22"/>
        </w:rPr>
        <w:t>본 초안은 *본문 인용 순* 으로 정렬한다.</w:t>
      </w:r>
    </w:p>
    <w:p>
      <w:pPr>
        <w:spacing w:line="384" w:lineRule="auto" w:before="0" w:after="120"/>
        <w:ind w:firstLine="283"/>
        <w:jc w:val="left"/>
      </w:pPr>
      <w:r>
        <w:rPr>
          <w:rFonts w:ascii="Times New Roman" w:hAnsi="Times New Roman" w:eastAsia="맑은 고딕"/>
          <w:b w:val="0"/>
          <w:sz w:val="22"/>
        </w:rPr>
        <w:t>---</w:t>
      </w:r>
    </w:p>
    <w:p>
      <w:pPr>
        <w:spacing w:line="384"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384"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384"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384"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384"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384"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384"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384"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384"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384"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384"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384"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384"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384"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384" w:lineRule="auto" w:before="0" w:after="120"/>
        <w:ind w:firstLine="283"/>
        <w:jc w:val="left"/>
      </w:pPr>
      <w:r>
        <w:rPr>
          <w:rFonts w:ascii="Times New Roman" w:hAnsi="Times New Roman" w:eastAsia="맑은 고딕"/>
          <w:b w:val="0"/>
          <w:sz w:val="22"/>
        </w:rPr>
        <w:t>[15] S. M. Lundberg, G. Erion, H. Chen, et al., "From local explanations to global understanding with explainable AI for trees", Nature Machine Intelligence, vol. 2, no. 1, pp. 56-67, 2020.</w:t>
      </w:r>
    </w:p>
    <w:p>
      <w:pPr>
        <w:spacing w:line="384" w:lineRule="auto" w:before="0" w:after="120"/>
        <w:ind w:firstLine="283"/>
        <w:jc w:val="left"/>
      </w:pPr>
      <w:r>
        <w:rPr>
          <w:rFonts w:ascii="Times New Roman" w:hAnsi="Times New Roman" w:eastAsia="맑은 고딕"/>
          <w:b w:val="0"/>
          <w:sz w:val="22"/>
        </w:rPr>
        <w:t>[16] S. Jain and B. C. Wallace, "Attention is not Explanation", Proceedings of NAACL-HLT 2019, pp. 3543-3556, 2019.</w:t>
      </w:r>
    </w:p>
    <w:p>
      <w:pPr>
        <w:spacing w:line="384" w:lineRule="auto" w:before="0" w:after="120"/>
        <w:ind w:firstLine="283"/>
        <w:jc w:val="left"/>
      </w:pPr>
      <w:r>
        <w:rPr>
          <w:rFonts w:ascii="Times New Roman" w:hAnsi="Times New Roman" w:eastAsia="맑은 고딕"/>
          <w:b w:val="0"/>
          <w:sz w:val="22"/>
        </w:rPr>
        <w:t>[17] Z. Ji, N. Lee, R. Frieske, et al., "Survey of hallucination in natural language generation", ACM Computing Surveys, vol. 55, no. 12, pp. 1-38, 2023.</w:t>
      </w:r>
    </w:p>
    <w:p>
      <w:pPr>
        <w:spacing w:line="384" w:lineRule="auto" w:before="0" w:after="120"/>
        <w:ind w:firstLine="283"/>
        <w:jc w:val="left"/>
      </w:pPr>
      <w:r>
        <w:rPr>
          <w:rFonts w:ascii="Times New Roman" w:hAnsi="Times New Roman" w:eastAsia="맑은 고딕"/>
          <w:b w:val="0"/>
          <w:sz w:val="22"/>
        </w:rPr>
        <w:t>[18] Y. Liu, D. Iter, Y. Xu, et al., "G-Eval: NLG evaluation using GPT-4 with better human alignment", Proceedings of EMNLP 2023, pp. 2511-2522, 2023.</w:t>
      </w:r>
    </w:p>
    <w:p>
      <w:pPr>
        <w:spacing w:line="384" w:lineRule="auto" w:before="0" w:after="120"/>
        <w:ind w:firstLine="283"/>
        <w:jc w:val="left"/>
      </w:pPr>
      <w:r>
        <w:rPr>
          <w:rFonts w:ascii="Times New Roman" w:hAnsi="Times New Roman" w:eastAsia="맑은 고딕"/>
          <w:b w:val="0"/>
          <w:sz w:val="22"/>
        </w:rPr>
        <w:t>[19] U.S. Equal Employment Opportunity Commission, "Uniform Guidelines on Employee Selection Procedures", 29 CFR Part 1607, 1978.</w:t>
      </w:r>
    </w:p>
    <w:p>
      <w:pPr>
        <w:spacing w:line="384" w:lineRule="auto" w:before="0" w:after="120"/>
        <w:ind w:firstLine="283"/>
        <w:jc w:val="left"/>
      </w:pPr>
      <w:r>
        <w:rPr>
          <w:rFonts w:ascii="Times New Roman" w:hAnsi="Times New Roman" w:eastAsia="맑은 고딕"/>
          <w:b w:val="0"/>
          <w:sz w:val="22"/>
        </w:rPr>
        <w:t>[20] M. Hardt, E. Price, and N. Srebro, "Equality of opportunity in supervised learning", Advances in Neural Information Processing Systems 29 (NIPS 2016), pp. 3315-3323, 2016.</w:t>
      </w:r>
    </w:p>
    <w:p>
      <w:pPr>
        <w:spacing w:line="384" w:lineRule="auto" w:before="0" w:after="120"/>
        <w:ind w:firstLine="283"/>
        <w:jc w:val="left"/>
      </w:pPr>
      <w:r>
        <w:rPr>
          <w:rFonts w:ascii="Times New Roman" w:hAnsi="Times New Roman" w:eastAsia="맑은 고딕"/>
          <w:b w:val="0"/>
          <w:sz w:val="22"/>
        </w:rPr>
        <w:t>[21] S. Bird, M. Dudík, R. Edgar, et al., "Fairlearn: A toolkit for assessing and improving fairness in AI", Microsoft Technical Report MSR-TR-2020-32, 2020.</w:t>
      </w:r>
    </w:p>
    <w:p>
      <w:pPr>
        <w:spacing w:line="384" w:lineRule="auto" w:before="0" w:after="120"/>
        <w:ind w:firstLine="283"/>
        <w:jc w:val="left"/>
      </w:pPr>
      <w:r>
        <w:rPr>
          <w:rFonts w:ascii="Times New Roman" w:hAnsi="Times New Roman" w:eastAsia="맑은 고딕"/>
          <w:b w:val="0"/>
          <w:sz w:val="22"/>
        </w:rPr>
        <w:t>[22] L. Zheng, W.-L. Chiang, Y. Sheng, et al., "Judging LLM-as-a-judge with MT-Bench and Chatbot Arena", Advances in Neural Information Processing Systems 36 (NeurIPS 2023), pp. 46595-46623, 2023.</w:t>
      </w:r>
    </w:p>
    <w:p>
      <w:pPr>
        <w:spacing w:line="384" w:lineRule="auto" w:before="0" w:after="120"/>
        <w:ind w:firstLine="283"/>
        <w:jc w:val="left"/>
      </w:pPr>
      <w:r>
        <w:rPr>
          <w:rFonts w:ascii="Times New Roman" w:hAnsi="Times New Roman" w:eastAsia="맑은 고딕"/>
          <w:b w:val="0"/>
          <w:sz w:val="22"/>
        </w:rPr>
        <w:t>[23] M. Laurer, W. van Atteveldt, A. Casas, and K. Welbers, "Less annotating, more classifying: Addressing the data scarcity issue of supervised machine learning with deep transfer learning and BERT-NLI", Political Analysis, vol. 32, no. 1, pp. 84-100, 2024.</w:t>
      </w:r>
    </w:p>
    <w:p>
      <w:pPr>
        <w:spacing w:line="384" w:lineRule="auto" w:before="0" w:after="120"/>
        <w:ind w:firstLine="283"/>
        <w:jc w:val="left"/>
      </w:pPr>
      <w:r>
        <w:rPr>
          <w:rFonts w:ascii="Times New Roman" w:hAnsi="Times New Roman" w:eastAsia="맑은 고딕"/>
          <w:b w:val="0"/>
          <w:sz w:val="22"/>
        </w:rPr>
        <w:t>[24] J. Park, J. C. O'Brien, C. J. Cai, et al., "Generative agents: Interactive simulacra of human behavior", Proceedings of UIST 2023, pp. 1-22, 2023.</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한국어 문헌</w:t>
      </w:r>
    </w:p>
    <w:p>
      <w:pPr>
        <w:spacing w:line="384" w:lineRule="auto" w:before="0" w:after="120"/>
        <w:ind w:firstLine="283"/>
        <w:jc w:val="left"/>
      </w:pPr>
      <w:r>
        <w:rPr>
          <w:rFonts w:ascii="Times New Roman" w:hAnsi="Times New Roman" w:eastAsia="맑은 고딕"/>
          <w:b w:val="0"/>
          <w:sz w:val="22"/>
        </w:rPr>
        <w:t>• 금융위원회 [5]</w:t>
      </w:r>
    </w:p>
    <w:p>
      <w:r>
        <w:br w:type="page"/>
      </w:r>
    </w:p>
    <w:p>
      <w:pPr>
        <w:pStyle w:val="Heading1"/>
        <w:spacing w:line="384" w:lineRule="auto" w:before="480" w:after="360"/>
        <w:jc w:val="center"/>
      </w:pPr>
      <w:r>
        <w:rPr>
          <w:rFonts w:ascii="Times New Roman" w:hAnsi="Times New Roman" w:eastAsia="맑은 고딕"/>
          <w:b/>
          <w:color w:val="000000"/>
          <w:sz w:val="32"/>
        </w:rPr>
        <w:t>부록 (Appendix)</w:t>
      </w:r>
    </w:p>
    <w:p>
      <w:pPr>
        <w:pStyle w:val="Heading2"/>
        <w:spacing w:line="384" w:lineRule="auto" w:before="360" w:after="240"/>
        <w:jc w:val="left"/>
      </w:pPr>
      <w:r>
        <w:rPr>
          <w:rFonts w:ascii="Times New Roman" w:hAnsi="Times New Roman" w:eastAsia="맑은 고딕"/>
          <w:b/>
          <w:color w:val="000000"/>
          <w:sz w:val="26"/>
        </w:rPr>
        <w:t>부록 A. SHAP Global Importance Top-50 (Home Credit)</w:t>
      </w:r>
    </w:p>
    <w:p>
      <w:pPr>
        <w:spacing w:line="384"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384"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맑은 고딕"/>
          <w:b w:val="0"/>
          <w:i/>
          <w:sz w:val="22"/>
        </w:rPr>
        <w:t>본 표는 docx 통합 시 `results/shap_global_xgboost.csv`에서 직접 추출하여 채운다.</w:t>
      </w:r>
    </w:p>
    <w:p>
      <w:pPr>
        <w:pStyle w:val="Heading2"/>
        <w:spacing w:line="384" w:lineRule="auto" w:before="360" w:after="240"/>
        <w:jc w:val="left"/>
      </w:pPr>
      <w:r>
        <w:rPr>
          <w:rFonts w:ascii="Times New Roman" w:hAnsi="Times New Roman" w:eastAsia="맑은 고딕"/>
          <w:b/>
          <w:color w:val="000000"/>
          <w:sz w:val="26"/>
        </w:rPr>
        <w:t>부록 B. 보호 속성 분포 (양 데이터셋)</w:t>
      </w:r>
    </w:p>
    <w:p>
      <w:pPr>
        <w:pStyle w:val="Heading3"/>
        <w:spacing w:line="384" w:lineRule="auto" w:before="240" w:after="120"/>
        <w:jc w:val="left"/>
      </w:pPr>
      <w:r>
        <w:rPr>
          <w:rFonts w:ascii="Times New Roman" w:hAnsi="Times New Roman" w:eastAsia="맑은 고딕"/>
          <w:b/>
          <w:color w:val="000000"/>
          <w:sz w:val="22"/>
        </w:rPr>
        <w:t>B.1 Home Credit</w:t>
      </w:r>
    </w:p>
    <w:p>
      <w:pPr>
        <w:spacing w:line="384"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384"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pStyle w:val="Heading3"/>
        <w:spacing w:line="384" w:lineRule="auto" w:before="240" w:after="120"/>
        <w:jc w:val="left"/>
      </w:pPr>
      <w:r>
        <w:rPr>
          <w:rFonts w:ascii="Times New Roman" w:hAnsi="Times New Roman" w:eastAsia="맑은 고딕"/>
          <w:b/>
          <w:color w:val="000000"/>
          <w:sz w:val="22"/>
        </w:rPr>
        <w:t>B.2 UCI German Credit</w:t>
      </w:r>
    </w:p>
    <w:p>
      <w:pPr>
        <w:spacing w:line="384"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pStyle w:val="Heading2"/>
        <w:spacing w:line="384" w:lineRule="auto" w:before="360" w:after="240"/>
        <w:jc w:val="left"/>
      </w:pPr>
      <w:r>
        <w:rPr>
          <w:rFonts w:ascii="Times New Roman" w:hAnsi="Times New Roman" w:eastAsia="맑은 고딕"/>
          <w:b/>
          <w:color w:val="000000"/>
          <w:sz w:val="26"/>
        </w:rPr>
        <w:t>부록 C. LLM 프롬프트 전문 (4-mode)</w:t>
      </w:r>
    </w:p>
    <w:p>
      <w:pPr>
        <w:pStyle w:val="Heading3"/>
        <w:spacing w:line="384" w:lineRule="auto" w:before="240" w:after="120"/>
        <w:jc w:val="left"/>
      </w:pPr>
      <w:r>
        <w:rPr>
          <w:rFonts w:ascii="Times New Roman" w:hAnsi="Times New Roman" w:eastAsia="맑은 고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384" w:lineRule="auto" w:before="240" w:after="120"/>
        <w:jc w:val="left"/>
      </w:pPr>
      <w:r>
        <w:rPr>
          <w:rFonts w:ascii="Times New Roman" w:hAnsi="Times New Roman" w:eastAsia="맑은 고딕"/>
          <w:b/>
          <w:color w:val="000000"/>
          <w:sz w:val="22"/>
        </w:rPr>
        <w:t>C.2 generic_rag 모드 프롬프트</w:t>
      </w:r>
    </w:p>
    <w:p>
      <w:pPr>
        <w:spacing w:line="384"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384" w:lineRule="auto" w:before="240" w:after="120"/>
        <w:jc w:val="left"/>
      </w:pPr>
      <w:r>
        <w:rPr>
          <w:rFonts w:ascii="Times New Roman" w:hAnsi="Times New Roman" w:eastAsia="맑은 고딕"/>
          <w:b/>
          <w:color w:val="000000"/>
          <w:sz w:val="22"/>
        </w:rPr>
        <w:t>C.3 shaponly 모드 프롬프트</w:t>
      </w:r>
    </w:p>
    <w:p>
      <w:pPr>
        <w:spacing w:line="384"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pStyle w:val="Heading3"/>
        <w:spacing w:line="384" w:lineRule="auto" w:before="240" w:after="120"/>
        <w:jc w:val="left"/>
      </w:pPr>
      <w:r>
        <w:rPr>
          <w:rFonts w:ascii="Times New Roman" w:hAnsi="Times New Roman" w:eastAsia="맑은 고딕"/>
          <w:b/>
          <w:color w:val="000000"/>
          <w:sz w:val="22"/>
        </w:rPr>
        <w:t>C.4 fusion 모드 프롬프트</w:t>
      </w:r>
    </w:p>
    <w:p>
      <w:pPr>
        <w:spacing w:line="384"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384" w:lineRule="auto" w:before="360" w:after="240"/>
        <w:jc w:val="left"/>
      </w:pPr>
      <w:r>
        <w:rPr>
          <w:rFonts w:ascii="Times New Roman" w:hAnsi="Times New Roman" w:eastAsia="맑은 고딕"/>
          <w:b/>
          <w:color w:val="000000"/>
          <w:sz w:val="26"/>
        </w:rPr>
        <w:t>부록 D. G-Eval Rubric과 NLI 라벨</w:t>
      </w:r>
    </w:p>
    <w:p>
      <w:pPr>
        <w:pStyle w:val="Heading3"/>
        <w:spacing w:line="384" w:lineRule="auto" w:before="240" w:after="120"/>
        <w:jc w:val="left"/>
      </w:pPr>
      <w:r>
        <w:rPr>
          <w:rFonts w:ascii="Times New Roman" w:hAnsi="Times New Roman" w:eastAsia="맑은 고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384" w:lineRule="auto" w:before="240" w:after="120"/>
        <w:jc w:val="left"/>
      </w:pPr>
      <w:r>
        <w:rPr>
          <w:rFonts w:ascii="Times New Roman" w:hAnsi="Times New Roman" w:eastAsia="맑은 고딕"/>
          <w:b/>
          <w:color w:val="000000"/>
          <w:sz w:val="22"/>
        </w:rPr>
        <w:t>D.2 mDeBERTa NLI 모델 라벨 매핑</w:t>
      </w:r>
    </w:p>
    <w:p>
      <w:pPr>
        <w:spacing w:line="384"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384" w:lineRule="auto" w:before="0" w:after="120"/>
        <w:ind w:firstLine="283"/>
        <w:jc w:val="left"/>
      </w:pPr>
      <w:r>
        <w:rPr>
          <w:rFonts w:ascii="Times New Roman" w:hAnsi="Times New Roman" w:eastAsia="맑은 고딕"/>
          <w:b w:val="0"/>
          <w:sz w:val="22"/>
        </w:rPr>
        <w:t>본 연구의 NLI Entailment Rate는 entailment 확률의 평균이다.</w:t>
      </w:r>
    </w:p>
    <w:p>
      <w:pPr>
        <w:pStyle w:val="Heading2"/>
        <w:spacing w:line="384" w:lineRule="auto" w:before="360" w:after="240"/>
        <w:jc w:val="left"/>
      </w:pPr>
      <w:r>
        <w:rPr>
          <w:rFonts w:ascii="Times New Roman" w:hAnsi="Times New Roman" w:eastAsia="맑은 고딕"/>
          <w:b/>
          <w:color w:val="000000"/>
          <w:sz w:val="26"/>
        </w:rPr>
        <w:t>부록 E. 4-mode 자연어 설명 예시</w:t>
      </w:r>
    </w:p>
    <w:p>
      <w:pPr>
        <w:spacing w:line="384"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384" w:lineRule="auto" w:before="240" w:after="120"/>
        <w:jc w:val="left"/>
      </w:pPr>
      <w:r>
        <w:rPr>
          <w:rFonts w:ascii="Times New Roman" w:hAnsi="Times New Roman" w:eastAsia="맑은 고딕"/>
          <w:b/>
          <w:color w:val="000000"/>
          <w:sz w:val="22"/>
        </w:rPr>
        <w:t>E.1 no_shap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신청 시점의 정보를 종합 분석한 결과 부도 위험이 높게 평가되었습니다. ... (5개 섹션 출력)"</w:t>
      </w:r>
    </w:p>
    <w:p>
      <w:pPr>
        <w:pStyle w:val="Heading3"/>
        <w:spacing w:line="384" w:lineRule="auto" w:before="240" w:after="120"/>
        <w:jc w:val="left"/>
      </w:pPr>
      <w:r>
        <w:rPr>
          <w:rFonts w:ascii="Times New Roman" w:hAnsi="Times New Roman" w:eastAsia="맑은 고딕"/>
          <w:b/>
          <w:color w:val="000000"/>
          <w:sz w:val="22"/>
        </w:rPr>
        <w:t>E.2 generic_rag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384" w:lineRule="auto" w:before="240" w:after="120"/>
        <w:jc w:val="left"/>
      </w:pPr>
      <w:r>
        <w:rPr>
          <w:rFonts w:ascii="Times New Roman" w:hAnsi="Times New Roman" w:eastAsia="맑은 고딕"/>
          <w:b/>
          <w:color w:val="000000"/>
          <w:sz w:val="22"/>
        </w:rPr>
        <w:t>E.3 shaponly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384" w:lineRule="auto" w:before="240" w:after="120"/>
        <w:jc w:val="left"/>
      </w:pPr>
      <w:r>
        <w:rPr>
          <w:rFonts w:ascii="Times New Roman" w:hAnsi="Times New Roman" w:eastAsia="맑은 고딕"/>
          <w:b/>
          <w:color w:val="000000"/>
          <w:sz w:val="22"/>
        </w:rPr>
        <w:t>E.4 fusion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384" w:lineRule="auto" w:before="360" w:after="240"/>
        <w:jc w:val="left"/>
      </w:pPr>
      <w:r>
        <w:rPr>
          <w:rFonts w:ascii="Times New Roman" w:hAnsi="Times New Roman" w:eastAsia="맑은 고딕"/>
          <w:b/>
          <w:color w:val="000000"/>
          <w:sz w:val="26"/>
        </w:rPr>
        <w:t>부록 F. 코드 저장소 안내</w:t>
      </w:r>
    </w:p>
    <w:p>
      <w:pPr>
        <w:spacing w:line="384"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384" w:lineRule="auto" w:before="0" w:after="120"/>
        <w:ind w:firstLine="283"/>
        <w:jc w:val="left"/>
      </w:pPr>
      <w:r>
        <w:rPr>
          <w:rFonts w:ascii="Times New Roman" w:hAnsi="Times New Roman" w:eastAsia="맑은 고딕"/>
          <w:b w:val="0"/>
          <w:sz w:val="22"/>
        </w:rPr>
        <w:t>• 저장소 URL: https://github.com/Tim-Green0/tabnet-xai-rag-credit</w:t>
      </w:r>
    </w:p>
    <w:p>
      <w:pPr>
        <w:spacing w:line="384" w:lineRule="auto" w:before="0" w:after="120"/>
        <w:ind w:firstLine="283"/>
        <w:jc w:val="left"/>
      </w:pPr>
      <w:r>
        <w:rPr>
          <w:rFonts w:ascii="Times New Roman" w:hAnsi="Times New Roman" w:eastAsia="맑은 고딕"/>
          <w:b w:val="0"/>
          <w:sz w:val="22"/>
        </w:rPr>
        <w:t>• 라이선스: MIT License</w:t>
      </w:r>
    </w:p>
    <w:p>
      <w:pPr>
        <w:spacing w:line="384"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384"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384"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384"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