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algun Gothic" w:hAnsi="Malgun Gothic"/>
          <w:b/>
          <w:sz w:val="40"/>
        </w:rPr>
        <w:t>석사 논문 중간 보고</w:t>
      </w:r>
    </w:p>
    <w:p>
      <w:pPr>
        <w:jc w:val="center"/>
      </w:pPr>
      <w:r>
        <w:rPr>
          <w:rFonts w:ascii="Malgun Gothic" w:hAnsi="Malgun Gothic"/>
          <w:sz w:val="26"/>
        </w:rPr>
        <w:t>정형 데이터 특화 딥러닝(TabNet)과 LLM 기반 XAI-RAG를</w:t>
        <w:br/>
        <w:t>활용한 설명 가능한 신용 평가 및 사용자 맞춤형 리포트 생성</w:t>
      </w:r>
    </w:p>
    <w:p>
      <w:pPr>
        <w:jc w:val="center"/>
      </w:pPr>
      <w:r>
        <w:rPr>
          <w:sz w:val="20"/>
        </w:rPr>
        <w:br/>
      </w:r>
      <w:r>
        <w:rPr>
          <w:rFonts w:ascii="Malgun Gothic" w:hAnsi="Malgun Gothic"/>
          <w:sz w:val="22"/>
        </w:rPr>
        <w:t>A70067 오현택</w:t>
        <w:br/>
      </w:r>
      <w:r>
        <w:rPr>
          <w:rFonts w:ascii="Malgun Gothic" w:hAnsi="Malgun Gothic"/>
          <w:sz w:val="22"/>
        </w:rPr>
        <w:t>지도교수: 박운상</w:t>
        <w:br/>
      </w:r>
      <w:r>
        <w:rPr>
          <w:rFonts w:ascii="Malgun Gothic" w:hAnsi="Malgun Gothic"/>
          <w:sz w:val="22"/>
        </w:rPr>
        <w:t>보고일: 2026-05-10 (예정)</w:t>
        <w:br/>
      </w:r>
    </w:p>
    <w:p/>
    <w:p>
      <w:pPr>
        <w:jc w:val="center"/>
      </w:pPr>
      <w:r>
        <w:rPr>
          <w:rFonts w:ascii="Malgun Gothic" w:hAnsi="Malgun Gothic"/>
          <w:b/>
          <w:color w:val="C44E52"/>
          <w:sz w:val="22"/>
        </w:rPr>
        <w:t>[핵심 메시지] 본 연구의 XAI-RAG는 두 상용 LLM 모두에서 Hallucination Rate 0.000을 달성 — 환각 차단 효과의 LLM 종속성 없음을 입증</w:t>
      </w:r>
    </w:p>
    <w:p>
      <w:r>
        <w:br w:type="page"/>
      </w:r>
    </w:p>
    <w:p>
      <w:pPr>
        <w:pStyle w:val="Heading1"/>
      </w:pPr>
      <w:r>
        <w:rPr>
          <w:rFonts w:ascii="Malgun Gothic" w:hAnsi="Malgun Gothic"/>
          <w:sz w:val="32"/>
        </w:rPr>
        <w:t>1. 연구 목적과 기여</w:t>
      </w:r>
    </w:p>
    <w:p>
      <w:r>
        <w:rPr>
          <w:rFonts w:ascii="Malgun Gothic" w:hAnsi="Malgun Gothic" w:eastAsia="Malgun Gothic"/>
          <w:b w:val="0"/>
          <w:sz w:val="22"/>
        </w:rPr>
        <w:t>정형 데이터 신용 평가에서 (1) 고성능 예측, (2) 투명한 수학적 근거, (3) 사용자 친화적 자연어 설명 세 요소를 일관된 파이프라인으로 통합하고, 그 결과의 신뢰성을 정량 검증한다.</w:t>
      </w:r>
    </w:p>
    <w:p>
      <w:pPr>
        <w:pStyle w:val="Heading2"/>
      </w:pPr>
      <w:r>
        <w:rPr>
          <w:rFonts w:ascii="Malgun Gothic" w:hAnsi="Malgun Gothic"/>
          <w:sz w:val="26"/>
        </w:rPr>
        <w:t>1.1 핵심 차별점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TabNet 어텐션 마스크와 SHAP의 일관성을 정량 분석 (대부분 연구가 사후 SHAP만 사용)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SHAP 결과를 'retrieved evidence'로 정의해 LLM 환각을 원천 차단하는 XAI-RAG 구조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Faithfulness · Hallucination · G-Eval 다층 정량 평가 프로토콜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성별·연령 4종 공정성 지표 + ablation 기반 mitigation 비교</w:t>
      </w:r>
    </w:p>
    <w:p>
      <w:pPr>
        <w:pStyle w:val="Heading1"/>
      </w:pPr>
      <w:r>
        <w:rPr>
          <w:rFonts w:ascii="Malgun Gothic" w:hAnsi="Malgun Gothic"/>
          <w:sz w:val="32"/>
        </w:rPr>
        <w:t>2. 데이터 및 전처리</w:t>
      </w:r>
    </w:p>
    <w:p>
      <w:r>
        <w:rPr>
          <w:rFonts w:ascii="Malgun Gothic" w:hAnsi="Malgun Gothic" w:eastAsia="Malgun Gothic"/>
          <w:b w:val="0"/>
          <w:sz w:val="22"/>
        </w:rPr>
        <w:t>데이터셋: Kaggle Home Credit Default Risk (메인 테이블), 307,511행 × 122컬럼.</w:t>
      </w:r>
    </w:p>
    <w:p>
      <w:r>
        <w:rPr>
          <w:rFonts w:ascii="Malgun Gothic" w:hAnsi="Malgun Gothic" w:eastAsia="Malgun Gothic"/>
          <w:b w:val="0"/>
          <w:sz w:val="22"/>
        </w:rPr>
        <w:t>TARGET 분포 8.07% (불균형) → AUROC, AUPRC, KS 위주 평가 + class_weight 균형.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전처리: 결측 50%+ 컬럼은 *_MISSING_FLAG 추가 후 보존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범주형: cardinality ≤8 → one-hot, OCCUPATION/ORGANIZATION → target encoding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DAYS_EMPLOYED sentinel 365243(≈18%)는 NaN+EMPLOYED_FLAG 처리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RobustScaler 적용 (TabNet/Logistic용), 60/20/20 stratified split, SEED=42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최종 feature 수: 122 → 214</w:t>
      </w:r>
    </w:p>
    <w:p>
      <w:pPr>
        <w:pStyle w:val="Heading1"/>
      </w:pPr>
      <w:r>
        <w:rPr>
          <w:rFonts w:ascii="Malgun Gothic" w:hAnsi="Malgun Gothic"/>
          <w:sz w:val="32"/>
        </w:rPr>
        <w:t>3. 모델 비교 (5-fold Stratified CV, test set)</w:t>
      </w:r>
    </w:p>
    <w:p>
      <w:r>
        <w:rPr>
          <w:rFonts w:ascii="Malgun Gothic" w:hAnsi="Malgun Gothic" w:eastAsia="Malgun Gothic"/>
          <w:b w:val="0"/>
          <w:sz w:val="22"/>
        </w:rPr>
        <w:t>단발 학습이 아닌 5-fold mean ± std로 안정성 검증.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모델</w:t>
            </w:r>
          </w:p>
        </w:tc>
        <w:tc>
          <w:tcPr>
            <w:tcW w:type="dxa" w:w="144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AUROC</w:t>
            </w:r>
          </w:p>
        </w:tc>
        <w:tc>
          <w:tcPr>
            <w:tcW w:type="dxa" w:w="144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AUPRC</w:t>
            </w:r>
          </w:p>
        </w:tc>
        <w:tc>
          <w:tcPr>
            <w:tcW w:type="dxa" w:w="144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KS</w:t>
            </w:r>
          </w:p>
        </w:tc>
        <w:tc>
          <w:tcPr>
            <w:tcW w:type="dxa" w:w="144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F1</w:t>
            </w:r>
          </w:p>
        </w:tc>
        <w:tc>
          <w:tcPr>
            <w:tcW w:type="dxa" w:w="144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비고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XGBoost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0.7587 ± 0.0008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0.2445 ± 0.0011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0.3846 ± 0.0015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0.2698 ± 0.0047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1등 (5/5 fold)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LightGBM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0.7544 ± 0.0009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0.2402 ± 0.0018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0.3788 ± 0.0028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0.2584 ± 0.0052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—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Logistic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0.7544 ± 0.0001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0.2343 ± 0.0006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0.3804 ± 0.0010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0.2631 ± 0.0087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선형 모델 안정성 최고</w:t>
            </w:r>
          </w:p>
        </w:tc>
      </w:tr>
      <w:tr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TabNet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0.7518 ± 0.0017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0.2331 ± 0.0023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0.3749 ± 0.0056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0.2657 ± 0.0079</w:t>
            </w:r>
          </w:p>
        </w:tc>
        <w:tc>
          <w:tcPr>
            <w:tcW w:type="dxa" w:w="1440"/>
          </w:tcPr>
          <w:p>
            <w:r/>
            <w:r>
              <w:rPr>
                <w:rFonts w:ascii="Malgun Gothic" w:hAnsi="Malgun Gothic"/>
                <w:sz w:val="20"/>
              </w:rPr>
              <w:t>어텐션 해석성 제공</w:t>
            </w:r>
          </w:p>
        </w:tc>
      </w:tr>
    </w:tbl>
    <w:p>
      <w:r>
        <w:rPr>
          <w:rFonts w:ascii="Malgun Gothic" w:hAnsi="Malgun Gothic" w:eastAsia="Malgun Gothic"/>
          <w:b w:val="0"/>
          <w:sz w:val="22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18318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3_cv_comparis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8318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그림 1. 5-fold CV 비교 (test, mean ± std)</w:t>
      </w:r>
    </w:p>
    <w:p>
      <w:pPr>
        <w:pStyle w:val="Heading1"/>
      </w:pPr>
      <w:r>
        <w:rPr>
          <w:rFonts w:ascii="Malgun Gothic" w:hAnsi="Malgun Gothic"/>
          <w:sz w:val="32"/>
        </w:rPr>
        <w:t>4. SHAP × 어텐션 일관성 (RQ2)</w:t>
      </w:r>
    </w:p>
    <w:p>
      <w:r>
        <w:rPr>
          <w:rFonts w:ascii="Malgun Gothic" w:hAnsi="Malgun Gothic" w:eastAsia="Malgun Gothic"/>
          <w:b w:val="0"/>
          <w:sz w:val="22"/>
        </w:rPr>
        <w:t>TabNet 어텐션 마스크와 SHAP global importance 간의 정량 일관성 분석.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지표</w:t>
            </w:r>
          </w:p>
        </w:tc>
        <w:tc>
          <w:tcPr>
            <w:tcW w:type="dxa" w:w="288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값</w:t>
            </w:r>
          </w:p>
        </w:tc>
        <w:tc>
          <w:tcPr>
            <w:tcW w:type="dxa" w:w="288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해석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Spearman ρ (전체 214 변수)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0.117 (p=0.089)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약한 양의 상관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Spearman ρ (Top 50 합집합)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−0.195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음수 — 미세 영역에서 상보적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Top-20 교집합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9 / 20 (Jaccard 0.29)</w:t>
            </w:r>
          </w:p>
        </w:tc>
        <w:tc>
          <w:tcPr>
            <w:tcW w:type="dxa" w:w="2880"/>
          </w:tcPr>
          <w:p>
            <w:r/>
            <w:r>
              <w:rPr>
                <w:rFonts w:ascii="Malgun Gothic" w:hAnsi="Malgun Gothic"/>
                <w:sz w:val="20"/>
              </w:rPr>
              <w:t>핵심 변수는 일치</w:t>
            </w:r>
          </w:p>
        </w:tc>
      </w:tr>
    </w:tbl>
    <w:p>
      <w:r>
        <w:rPr>
          <w:rFonts w:ascii="Malgun Gothic" w:hAnsi="Malgun Gothic" w:eastAsia="Malgun Gothic"/>
          <w:b w:val="0"/>
          <w:sz w:val="22"/>
        </w:rPr>
      </w:r>
    </w:p>
    <w:p>
      <w:r>
        <w:rPr>
          <w:rFonts w:ascii="Malgun Gothic" w:hAnsi="Malgun Gothic" w:eastAsia="Malgun Gothic"/>
          <w:b w:val="0"/>
          <w:sz w:val="20"/>
        </w:rPr>
        <w:t>교집합 9개: EXT_SOURCE_2, EXT_SOURCE_3, DAYS_EMPLOYED, ORGANIZATION_TYPE, NAME_CONTRACT_TYPE_Revolving loans, CODE_GENDER_M 등.</w:t>
      </w:r>
    </w:p>
    <w:p>
      <w:r>
        <w:rPr>
          <w:rFonts w:ascii="Malgun Gothic" w:hAnsi="Malgun Gothic" w:eastAsia="Malgun Gothic"/>
          <w:b/>
          <w:sz w:val="22"/>
        </w:rPr>
        <w:t>→ 두 방법은 핵심 변수에서 일관적이지만 미세 순위에서는 상보적. 본 연구의 다층 해석 정당성을 데이터로 뒷받침.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37729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6_attention_vs_shap_scatte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3772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그림 2. 어텐션 vs SHAP 일관성 산점도</w:t>
      </w:r>
    </w:p>
    <w:p>
      <w:pPr>
        <w:pStyle w:val="Heading1"/>
      </w:pPr>
      <w:r>
        <w:rPr>
          <w:rFonts w:ascii="Malgun Gothic" w:hAnsi="Malgun Gothic"/>
          <w:sz w:val="32"/>
        </w:rPr>
        <w:t>5. 공정성 진단 + Mitigation</w:t>
      </w:r>
    </w:p>
    <w:p>
      <w:r>
        <w:rPr>
          <w:rFonts w:ascii="Malgun Gothic" w:hAnsi="Malgun Gothic" w:eastAsia="Malgun Gothic"/>
          <w:b w:val="0"/>
          <w:sz w:val="22"/>
        </w:rPr>
        <w:t>4개 모델 × 보호속성 {GENDER, AGE} = 8건 모두 4/5 rule 위반 (DI &lt; 0.8).</w:t>
      </w:r>
    </w:p>
    <w:p>
      <w:r>
        <w:rPr>
          <w:rFonts w:ascii="Malgun Gothic" w:hAnsi="Malgun Gothic" w:eastAsia="Malgun Gothic"/>
          <w:b w:val="0"/>
          <w:sz w:val="22"/>
        </w:rPr>
        <w:t>보호 속성 컬럼 제거 후 재학습한 ablation 결과: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모델 × 속성</w:t>
            </w:r>
          </w:p>
        </w:tc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AUROC Δ</w:t>
            </w:r>
          </w:p>
        </w:tc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DP Δ</w:t>
            </w:r>
          </w:p>
        </w:tc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DI 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XGBoost × GENDER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−0.005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0.164 → 0.105 (−36%)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0.622 → 0.718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TabNet × GENDER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−0.010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0.156 → 0.093 (−40%)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0.621 → 0.757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XGBoost × AGE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−0.005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0.197 → 0.179 (−9%)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0.498 → 0.507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TabNet × AGE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−0.010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0.185 → 0.188 (+2%)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0.504 → 0.513</w:t>
            </w:r>
          </w:p>
        </w:tc>
      </w:tr>
    </w:tbl>
    <w:p>
      <w:r>
        <w:rPr>
          <w:rFonts w:ascii="Malgun Gothic" w:hAnsi="Malgun Gothic" w:eastAsia="Malgun Gothic"/>
          <w:b w:val="0"/>
          <w:sz w:val="22"/>
        </w:rPr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GENDER ablation은 효과적 (DP 30~40% 감소, AUROC 1% 미만 손실)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AGE ablation은 효과 미미 — 연령이 DAYS_EMPLOYED·DAYS_REGISTRATION 등 다른 변수에 간접 인코딩된 proxy variable 문제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4/5 rule은 여전히 미통과 → 본격적 fairness-aware 학습 필요 (future work)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60244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9_fairness_mitiga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6024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그림 3. baseline vs ablated 공정성 비교</w:t>
      </w:r>
    </w:p>
    <w:p>
      <w:pPr>
        <w:pStyle w:val="Heading1"/>
      </w:pPr>
      <w:r>
        <w:rPr>
          <w:rFonts w:ascii="Malgun Gothic" w:hAnsi="Malgun Gothic"/>
          <w:sz w:val="32"/>
        </w:rPr>
        <w:t>6. XAI-RAG 자연어 설명 (Demo: idx 59291)</w:t>
      </w:r>
    </w:p>
    <w:p>
      <w:r>
        <w:rPr>
          <w:rFonts w:ascii="Malgun Gothic" w:hAnsi="Malgun Gothic" w:eastAsia="Malgun Gothic"/>
          <w:b w:val="0"/>
          <w:sz w:val="22"/>
        </w:rPr>
        <w:t>인스턴스: 실제 정답 = 부도(1), P(default) = 0.9484, 결정 = REJECT (True Positive)</w:t>
      </w:r>
    </w:p>
    <w:p>
      <w:pPr>
        <w:pStyle w:val="Heading2"/>
      </w:pPr>
      <w:r>
        <w:rPr>
          <w:rFonts w:ascii="Malgun Gothic" w:hAnsi="Malgun Gothic"/>
          <w:sz w:val="26"/>
        </w:rPr>
        <w:t>6.1 SHAP 기반 거절 측 Top 5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rank</w:t>
            </w:r>
          </w:p>
        </w:tc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feature</w:t>
            </w:r>
          </w:p>
        </w:tc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value</w:t>
            </w:r>
          </w:p>
        </w:tc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SHAP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외부 신용평가 점수 3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0.0633754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+1.0440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외부 신용평가 점수 2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0.154032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+0.4924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구매 대상 상품 가격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450,000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+0.2342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등록 도시와 실거주 도시 불일치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1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+0.1577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재직 일수(음수: 신청일 기준)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0년 재직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+0.1385</w:t>
            </w:r>
          </w:p>
        </w:tc>
      </w:tr>
    </w:tbl>
    <w:p>
      <w:r>
        <w:rPr>
          <w:rFonts w:ascii="Malgun Gothic" w:hAnsi="Malgun Gothic" w:eastAsia="Malgun Gothic"/>
          <w:b w:val="0"/>
          <w:sz w:val="22"/>
        </w:rPr>
      </w:r>
    </w:p>
    <w:p>
      <w:pPr>
        <w:pStyle w:val="Heading2"/>
      </w:pPr>
      <w:r>
        <w:rPr>
          <w:rFonts w:ascii="Malgun Gothic" w:hAnsi="Malgun Gothic"/>
          <w:sz w:val="26"/>
        </w:rPr>
        <w:t>6.2 두 LLM 자연어 설명 비교</w:t>
      </w:r>
    </w:p>
    <w:p>
      <w:r>
        <w:rPr>
          <w:rFonts w:ascii="Malgun Gothic" w:hAnsi="Malgun Gothic" w:eastAsia="Malgun Gothic"/>
          <w:b/>
          <w:sz w:val="20"/>
        </w:rPr>
        <w:t>[Gemini 2.5 Flash] elapsed=14.8s, tokens=4959</w:t>
      </w:r>
    </w:p>
    <w:p>
      <w:r>
        <w:rPr>
          <w:rFonts w:ascii="Malgun Gothic" w:hAnsi="Malgun Gothic" w:eastAsia="Malgun Gothic"/>
          <w:b w:val="0"/>
          <w:sz w:val="20"/>
        </w:rPr>
        <w:t>[결정 요약]</w:t>
      </w:r>
    </w:p>
    <w:p>
      <w:r>
        <w:rPr>
          <w:rFonts w:ascii="Malgun Gothic" w:hAnsi="Malgun Gothic" w:eastAsia="Malgun Gothic"/>
          <w:b w:val="0"/>
          <w:sz w:val="20"/>
        </w:rPr>
        <w:t>신청 결과: 대출 신청이 거절되었습니다(예측 부도 확률 94.84%).</w:t>
      </w:r>
    </w:p>
    <w:p>
      <w:r>
        <w:rPr>
          <w:rFonts w:ascii="Malgun Gothic" w:hAnsi="Malgun Gothic" w:eastAsia="Malgun Gothic"/>
          <w:b w:val="0"/>
          <w:sz w:val="20"/>
        </w:rPr>
        <w:t>[주요 거절 사유]</w:t>
      </w:r>
    </w:p>
    <w:p>
      <w:r>
        <w:rPr>
          <w:rFonts w:ascii="Malgun Gothic" w:hAnsi="Malgun Gothic" w:eastAsia="Malgun Gothic"/>
          <w:b w:val="0"/>
          <w:sz w:val="20"/>
        </w:rPr>
        <w:t>1.  외부 신용평가 점수 3이 0.0633754로 매우 낮아 부도 가능성을 높였습니다.</w:t>
      </w:r>
    </w:p>
    <w:p>
      <w:r>
        <w:rPr>
          <w:rFonts w:ascii="Malgun Gothic" w:hAnsi="Malgun Gothic" w:eastAsia="Malgun Gothic"/>
          <w:b w:val="0"/>
          <w:sz w:val="20"/>
        </w:rPr>
        <w:t>2.  외부 신용평가 점수 2도 0.154032로 낮은 편이어서 부도 가능성에 부정적인 영향을 주었습니다.</w:t>
      </w:r>
    </w:p>
    <w:p>
      <w:r>
        <w:rPr>
          <w:rFonts w:ascii="Malgun Gothic" w:hAnsi="Malgun Gothic" w:eastAsia="Malgun Gothic"/>
          <w:b w:val="0"/>
          <w:sz w:val="20"/>
        </w:rPr>
        <w:t>3.  구매 대상 상품 가격 450,000이 부도 가능성을 증가시키는 요인으로 반영되었습니다.</w:t>
      </w:r>
    </w:p>
    <w:p>
      <w:r>
        <w:rPr>
          <w:rFonts w:ascii="Malgun Gothic" w:hAnsi="Malgun Gothic" w:eastAsia="Malgun Gothic"/>
          <w:b w:val="0"/>
          <w:sz w:val="20"/>
        </w:rPr>
        <w:t>[긍정적으로 평가된 요인]</w:t>
      </w:r>
    </w:p>
    <w:p>
      <w:r>
        <w:rPr>
          <w:rFonts w:ascii="Malgun Gothic" w:hAnsi="Malgun Gothic" w:eastAsia="Malgun Gothic"/>
          <w:b w:val="0"/>
          <w:sz w:val="20"/>
        </w:rPr>
        <w:t>-   차량을 소유하신 점은 긍정적으로 평가되었습니다.</w:t>
      </w:r>
    </w:p>
    <w:p>
      <w:r>
        <w:rPr>
          <w:rFonts w:ascii="Malgun Gothic" w:hAnsi="Malgun Gothic" w:eastAsia="Malgun Gothic"/>
          <w:b w:val="0"/>
          <w:sz w:val="20"/>
        </w:rPr>
        <w:t>-   총 소득 234,000은 긍정적인 요인으로 작용했습니다.</w:t>
      </w:r>
    </w:p>
    <w:p>
      <w:r>
        <w:rPr>
          <w:rFonts w:ascii="Malgun Gothic" w:hAnsi="Malgun Gothic" w:eastAsia="Malgun Gothic"/>
          <w:b w:val="0"/>
          <w:sz w:val="20"/>
        </w:rPr>
        <w:t>-   근무 조직 유형(타깃 인코딩 값 0.0800)도 긍정적으로 반영되었습니다.</w:t>
      </w:r>
    </w:p>
    <w:p>
      <w:r>
        <w:rPr>
          <w:rFonts w:ascii="Malgun Gothic" w:hAnsi="Malgun Gothic" w:eastAsia="Malgun Gothic"/>
          <w:b w:val="0"/>
          <w:sz w:val="20"/>
        </w:rPr>
        <w:t>[개선 권고]</w:t>
      </w:r>
    </w:p>
    <w:p>
      <w:r>
        <w:rPr>
          <w:rFonts w:ascii="Malgun Gothic" w:hAnsi="Malgun Gothic" w:eastAsia="Malgun Gothic"/>
          <w:b w:val="0"/>
          <w:sz w:val="20"/>
        </w:rPr>
        <w:t>-   외부 신용평가 점수 향상을 위한 신용 관리를 권장합니다.</w:t>
      </w:r>
    </w:p>
    <w:p>
      <w:r>
        <w:rPr>
          <w:rFonts w:ascii="Malgun Gothic" w:hAnsi="Malgun Gothic" w:eastAsia="Malgun Gothic"/>
          <w:b w:val="0"/>
          <w:sz w:val="20"/>
        </w:rPr>
        <w:t>-   일정 기간 후 재신청을 고려해 보시는 것을 권유드립니다.</w:t>
      </w:r>
    </w:p>
    <w:p>
      <w:r>
        <w:rPr>
          <w:rFonts w:ascii="Malgun Gothic" w:hAnsi="Malgun Gothic" w:eastAsia="Malgun Gothic"/>
          <w:b w:val="0"/>
          <w:sz w:val="20"/>
        </w:rPr>
        <w:t>[면책 고지]</w:t>
      </w:r>
    </w:p>
    <w:p>
      <w:r>
        <w:rPr>
          <w:rFonts w:ascii="Malgun Gothic" w:hAnsi="Malgun Gothic" w:eastAsia="Malgun Gothic"/>
          <w:b w:val="0"/>
          <w:sz w:val="20"/>
        </w:rPr>
        <w:t>본 안내는 모델의 자동화된 평가 결과를 자연어로 정리한 것이며, 최종 의사결정은 담당자의 검토를 거칩니다. 미래 신청 결과를 보장하지 않습니다.</w:t>
      </w:r>
    </w:p>
    <w:p>
      <w:r>
        <w:rPr>
          <w:rFonts w:ascii="Malgun Gothic" w:hAnsi="Malgun Gothic" w:eastAsia="Malgun Gothic"/>
          <w:b w:val="0"/>
          <w:sz w:val="22"/>
        </w:rPr>
      </w:r>
    </w:p>
    <w:p>
      <w:r>
        <w:rPr>
          <w:rFonts w:ascii="Malgun Gothic" w:hAnsi="Malgun Gothic" w:eastAsia="Malgun Gothic"/>
          <w:b/>
          <w:sz w:val="20"/>
        </w:rPr>
        <w:t>[Claude Sonnet 4.5] elapsed=13.5s, tokens=2694</w:t>
      </w:r>
    </w:p>
    <w:p>
      <w:r>
        <w:rPr>
          <w:rFonts w:ascii="Malgun Gothic" w:hAnsi="Malgun Gothic" w:eastAsia="Malgun Gothic"/>
          <w:b w:val="0"/>
          <w:sz w:val="20"/>
        </w:rPr>
        <w:t>[결정 요약]</w:t>
      </w:r>
    </w:p>
    <w:p>
      <w:r>
        <w:rPr>
          <w:rFonts w:ascii="Malgun Gothic" w:hAnsi="Malgun Gothic" w:eastAsia="Malgun Gothic"/>
          <w:b w:val="0"/>
          <w:sz w:val="20"/>
        </w:rPr>
        <w:t>신청 결과: 대출 신청이 거절되었습니다(예측 부도 확률 94.84%, 기준 47.58%).</w:t>
      </w:r>
    </w:p>
    <w:p>
      <w:r>
        <w:rPr>
          <w:rFonts w:ascii="Malgun Gothic" w:hAnsi="Malgun Gothic" w:eastAsia="Malgun Gothic"/>
          <w:b w:val="0"/>
          <w:sz w:val="20"/>
        </w:rPr>
        <w:t>[주요 거절 사유]</w:t>
      </w:r>
    </w:p>
    <w:p>
      <w:r>
        <w:rPr>
          <w:rFonts w:ascii="Malgun Gothic" w:hAnsi="Malgun Gothic" w:eastAsia="Malgun Gothic"/>
          <w:b w:val="0"/>
          <w:sz w:val="20"/>
        </w:rPr>
        <w:t>1. 외부 신용평가 점수 3이 0.0634로 매우 낮게 평가되어 부도 가능성을 크게 높였습니다.</w:t>
      </w:r>
    </w:p>
    <w:p>
      <w:r>
        <w:rPr>
          <w:rFonts w:ascii="Malgun Gothic" w:hAnsi="Malgun Gothic" w:eastAsia="Malgun Gothic"/>
          <w:b w:val="0"/>
          <w:sz w:val="20"/>
        </w:rPr>
        <w:t>2. 외부 신용평가 점수 2도 0.1540으로 낮은 수준입니다.</w:t>
      </w:r>
    </w:p>
    <w:p>
      <w:r>
        <w:rPr>
          <w:rFonts w:ascii="Malgun Gothic" w:hAnsi="Malgun Gothic" w:eastAsia="Malgun Gothic"/>
          <w:b w:val="0"/>
          <w:sz w:val="20"/>
        </w:rPr>
        <w:t>3. 재직 일수가 0년으로 확인되어 소득 안정성 측면에서 부정적으로 작용했습니다.</w:t>
      </w:r>
    </w:p>
    <w:p>
      <w:r>
        <w:rPr>
          <w:rFonts w:ascii="Malgun Gothic" w:hAnsi="Malgun Gothic" w:eastAsia="Malgun Gothic"/>
          <w:b w:val="0"/>
          <w:sz w:val="20"/>
        </w:rPr>
        <w:t>[긍정적으로 평가된 요인]</w:t>
      </w:r>
    </w:p>
    <w:p>
      <w:r>
        <w:rPr>
          <w:rFonts w:ascii="Malgun Gothic" w:hAnsi="Malgun Gothic" w:eastAsia="Malgun Gothic"/>
          <w:b w:val="0"/>
          <w:sz w:val="20"/>
        </w:rPr>
        <w:t>- 총 소득 234,000원이 긍정적으로 반영되었습니다.</w:t>
      </w:r>
    </w:p>
    <w:p>
      <w:r>
        <w:rPr>
          <w:rFonts w:ascii="Malgun Gothic" w:hAnsi="Malgun Gothic" w:eastAsia="Malgun Gothic"/>
          <w:b w:val="0"/>
          <w:sz w:val="20"/>
        </w:rPr>
        <w:t>- 근무 조직 유형(타깃 인코딩 값 0.0800)이 부도 가능성을 낮추는 요인으로 평가되었습니다.</w:t>
      </w:r>
    </w:p>
    <w:p>
      <w:r>
        <w:rPr>
          <w:rFonts w:ascii="Malgun Gothic" w:hAnsi="Malgun Gothic" w:eastAsia="Malgun Gothic"/>
          <w:b w:val="0"/>
          <w:sz w:val="20"/>
        </w:rPr>
        <w:t>- 기혼 상태가 긍정적 요인으로 작용했습니다.</w:t>
      </w:r>
    </w:p>
    <w:p>
      <w:r>
        <w:rPr>
          <w:rFonts w:ascii="Malgun Gothic" w:hAnsi="Malgun Gothic" w:eastAsia="Malgun Gothic"/>
          <w:b w:val="0"/>
          <w:sz w:val="20"/>
        </w:rPr>
        <w:t>[개선 권고]</w:t>
      </w:r>
    </w:p>
    <w:p>
      <w:r>
        <w:rPr>
          <w:rFonts w:ascii="Malgun Gothic" w:hAnsi="Malgun Gothic" w:eastAsia="Malgun Gothic"/>
          <w:b w:val="0"/>
          <w:sz w:val="20"/>
        </w:rPr>
        <w:t>- 외부 신용평가 점수 향상을 위한 신용 관리(연체 해소, 신용카드 사용률 조정, 금융 거래 이력 구축)를 우선적으로 권장합니다.</w:t>
      </w:r>
    </w:p>
    <w:p>
      <w:r>
        <w:rPr>
          <w:rFonts w:ascii="Malgun Gothic" w:hAnsi="Malgun Gothic" w:eastAsia="Malgun Gothic"/>
          <w:b w:val="0"/>
          <w:sz w:val="20"/>
        </w:rPr>
        <w:t>- 안정적인 재직 기간 확보 후 재신청을 검토하실 수 있습니다.</w:t>
      </w:r>
    </w:p>
    <w:p>
      <w:r>
        <w:rPr>
          <w:rFonts w:ascii="Malgun Gothic" w:hAnsi="Malgun Gothic" w:eastAsia="Malgun Gothic"/>
          <w:b w:val="0"/>
          <w:sz w:val="20"/>
        </w:rPr>
        <w:t>- 일정 기간(6개월~1년) 후 신용 상태 개선을 확인하고 재신청하시기를 권장합니다.</w:t>
      </w:r>
    </w:p>
    <w:p>
      <w:r>
        <w:rPr>
          <w:rFonts w:ascii="Malgun Gothic" w:hAnsi="Malgun Gothic" w:eastAsia="Malgun Gothic"/>
          <w:b w:val="0"/>
          <w:sz w:val="20"/>
        </w:rPr>
        <w:t>[면책 고지]</w:t>
      </w:r>
    </w:p>
    <w:p>
      <w:r>
        <w:rPr>
          <w:rFonts w:ascii="Malgun Gothic" w:hAnsi="Malgun Gothic" w:eastAsia="Malgun Gothic"/>
          <w:b w:val="0"/>
          <w:sz w:val="20"/>
        </w:rPr>
        <w:t>본 안내는 XGBoost 모델의 자동화된 평가 결과를 요약한 것이며, 최종 의사결정은 담당자의 종합적 검토를 거칩니다. 미래 신청 결과를 보장하지 않습니다.</w:t>
      </w:r>
    </w:p>
    <w:p>
      <w:r>
        <w:rPr>
          <w:rFonts w:ascii="Malgun Gothic" w:hAnsi="Malgun Gothic" w:eastAsia="Malgun Gothic"/>
          <w:b w:val="0"/>
          <w:sz w:val="22"/>
        </w:rPr>
      </w:r>
    </w:p>
    <w:p>
      <w:pPr>
        <w:pStyle w:val="Heading1"/>
      </w:pPr>
      <w:r>
        <w:rPr>
          <w:rFonts w:ascii="Malgun Gothic" w:hAnsi="Malgun Gothic"/>
          <w:sz w:val="32"/>
        </w:rPr>
        <w:t>7. 정량 평가 (RQ3 — 환각 차단 효과)</w:t>
      </w:r>
    </w:p>
    <w:p>
      <w:r>
        <w:rPr>
          <w:rFonts w:ascii="Malgun Gothic" w:hAnsi="Malgun Gothic" w:eastAsia="Malgun Gothic"/>
          <w:b w:val="0"/>
          <w:sz w:val="20"/>
        </w:rPr>
        <w:t>평가 차원: Faithfulness, Hallucination, G-Eval(Gemini self-judge), 효율성. 10 샘플(REJECT 5 + APPROVE 5)에 대해 측정.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지표</w:t>
            </w:r>
          </w:p>
        </w:tc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Gemini 2.5 Flash</w:t>
            </w:r>
          </w:p>
        </w:tc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Claude Sonnet 4.5</w:t>
            </w:r>
          </w:p>
        </w:tc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비고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Hallucination Rate (strict)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0.000 ± 0.000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0.000 ± 0.000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★ XAI-RAG 환각 차단 입증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Hallucination Rate (broad)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0.000 ± 0.000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0.000 ± 0.000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컨텍스트 외 변수 0건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val_match_rate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0.811 ± 0.123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0.901 ± 0.111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Claude 우위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sign_match_rate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0.783 ± 0.209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0.867 ± 0.233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Claude 우위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G-Eval factual_accuracy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5.0 ± 0.0 / 5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(skip)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self-judge 만점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G-Eval sensitive_leak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5.0 ± 0.0 / 5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(skip)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민감변수 마스킹 완벽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G-Eval style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5.0 ± 0.0 / 5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(skip)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고객 친화적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elapsed (sec, per call)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12.7 ± 4.5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8.4 ± 0.8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Claude 빠름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total tokens (per call)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4,155 ± 834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2,500 ± 83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Claude 효율적</w:t>
            </w:r>
          </w:p>
        </w:tc>
      </w:tr>
    </w:tbl>
    <w:p>
      <w:r>
        <w:rPr>
          <w:rFonts w:ascii="Malgun Gothic" w:hAnsi="Malgun Gothic" w:eastAsia="Malgun Gothic"/>
          <w:b w:val="0"/>
          <w:sz w:val="22"/>
        </w:rPr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185852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1_llm_comparis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1858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그림 4. Gemini vs Claude — 룰 기반·G-Eval·효율성</w:t>
      </w:r>
    </w:p>
    <w:p>
      <w:pPr>
        <w:pStyle w:val="Heading2"/>
      </w:pPr>
      <w:r>
        <w:rPr>
          <w:rFonts w:ascii="Malgun Gothic" w:hAnsi="Malgun Gothic"/>
          <w:sz w:val="26"/>
        </w:rPr>
        <w:t>7.1 핵심 메시지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두 상용 LLM 모두에서 Hallucination Rate 0.000 — XAI-RAG 환각 차단 효과의 LLM 종속성 없음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G-Eval factual_accuracy / sensitive_leak / style 모두 만점 (5.0/5)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Faithfulness 룰 기반 정합도 약간의 차이는 출력 스타일(픽셀 일치 vs 자연 반올림)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Claude가 효율 우위 — 시간 −34%, 토큰 −40%</w:t>
      </w:r>
    </w:p>
    <w:p>
      <w:pPr>
        <w:pStyle w:val="Heading1"/>
      </w:pPr>
      <w:r>
        <w:rPr>
          <w:rFonts w:ascii="Malgun Gothic" w:hAnsi="Malgun Gothic"/>
          <w:sz w:val="32"/>
        </w:rPr>
        <w:t>8. Counterfactual Baseline — XAI-RAG vs no-SHAP</w:t>
      </w:r>
    </w:p>
    <w:p>
      <w:r>
        <w:rPr>
          <w:rFonts w:ascii="Malgun Gothic" w:hAnsi="Malgun Gothic" w:eastAsia="Malgun Gothic"/>
          <w:b w:val="0"/>
          <w:sz w:val="22"/>
        </w:rPr>
        <w:t>RQ3 강한 검증: 동일 11샘플에 대해 SHAP 컨텍스트 없이 raw 데이터만 LLM에 주는 baseline 실험. 환각률 비교.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LLM</w:t>
            </w:r>
          </w:p>
        </w:tc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XAI-RAG halluc</w:t>
            </w:r>
          </w:p>
        </w:tc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Baseline halluc</w:t>
            </w:r>
          </w:p>
        </w:tc>
        <w:tc>
          <w:tcPr>
            <w:tcW w:type="dxa" w:w="2160"/>
            <w:shd w:val="clear" w:fill="4C72B0"/>
          </w:tcPr>
          <w:p>
            <w:r/>
            <w:r>
              <w:rPr>
                <w:rFonts w:ascii="Malgun Gothic" w:hAnsi="Malgun Gothic"/>
                <w:b/>
                <w:color w:val="FFFFFF"/>
                <w:sz w:val="20"/>
              </w:rPr>
              <w:t>환각/총 후보 (baseline)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Gemini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0.000 ± 0.000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0.000 ± 0.000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0/4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Anthropic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0.000 ± 0.000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0.455 ± 0.472</w:t>
            </w:r>
          </w:p>
        </w:tc>
        <w:tc>
          <w:tcPr>
            <w:tcW w:type="dxa" w:w="2160"/>
          </w:tcPr>
          <w:p>
            <w:r/>
            <w:r>
              <w:rPr>
                <w:rFonts w:ascii="Malgun Gothic" w:hAnsi="Malgun Gothic"/>
                <w:sz w:val="20"/>
              </w:rPr>
              <w:t>7/11</w:t>
            </w:r>
          </w:p>
        </w:tc>
      </w:tr>
    </w:tbl>
    <w:p>
      <w:r>
        <w:rPr>
          <w:rFonts w:ascii="Malgun Gothic" w:hAnsi="Malgun Gothic" w:eastAsia="Malgun Gothic"/>
          <w:b w:val="0"/>
          <w:sz w:val="22"/>
        </w:rPr>
      </w:r>
    </w:p>
    <w:p>
      <w:r>
        <w:rPr>
          <w:rFonts w:ascii="Malgun Gothic" w:hAnsi="Malgun Gothic" w:eastAsia="Malgun Gothic"/>
          <w:b/>
          <w:sz w:val="22"/>
        </w:rPr>
        <w:t>Claude Sonnet 4.5의 baseline에서 환각률 45.5% (XAI-RAG는 0%) — 결정적 차이.</w:t>
      </w:r>
    </w:p>
    <w:p>
      <w:r>
        <w:rPr>
          <w:rFonts w:ascii="Malgun Gothic" w:hAnsi="Malgun Gothic" w:eastAsia="Malgun Gothic"/>
          <w:b/>
          <w:sz w:val="20"/>
        </w:rPr>
        <w:t>Claude baseline 환각 사례: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DTI, LTV, DSR — Home Credit 데이터셋에 없는 일반 금융 비율 약어를 LLM이 자체 학습된 도메인 지식으로 끌어와 사용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'햇살론, 미소금융' — 데이터에 없는 특정 금융 상품명을 권고에 포함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'1588-XXXX' 같은 가짜 고객센터 번호 생성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DEF_30_CNT 등 변수명 잘림 — 데이터의 실제 변수명 부정확 인용</w:t>
      </w:r>
    </w:p>
    <w:p>
      <w:r>
        <w:rPr>
          <w:rFonts w:ascii="Malgun Gothic" w:hAnsi="Malgun Gothic" w:eastAsia="Malgun Gothic"/>
          <w:b w:val="0"/>
          <w:sz w:val="22"/>
        </w:rPr>
      </w:r>
    </w:p>
    <w:p>
      <w:r>
        <w:rPr>
          <w:rFonts w:ascii="Malgun Gothic" w:hAnsi="Malgun Gothic" w:eastAsia="Malgun Gothic"/>
          <w:b w:val="0"/>
          <w:sz w:val="20"/>
        </w:rPr>
        <w:t>Gemini의 baseline 측정값 0%는 환각이 없는 것이 아니라, 한국어 자연어로 의역해 영문 변수명 정규식 룰로 잡히지 않은 것. 측정 한계 — Cross-LLM judge 등 의미 단위 평가가 future work.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62818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23_baseline_vs_xairag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6281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8"/>
        </w:rPr>
        <w:t>그림 5. XAI-RAG vs baseline (no SHAP) — 환각률 비교</w:t>
      </w:r>
    </w:p>
    <w:p>
      <w:pPr>
        <w:pStyle w:val="Heading1"/>
      </w:pPr>
      <w:r>
        <w:rPr>
          <w:rFonts w:ascii="Malgun Gothic" w:hAnsi="Malgun Gothic"/>
          <w:sz w:val="32"/>
        </w:rPr>
        <w:t>9. 향후 계획 (Future Work)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Counterfactual Test — SHAP 변수 ablation 시 LLM 출력 변화 정량 측정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베이스라인 비교 — SHAP 없이 raw 데이터만 LLM에 주는 경우의 환각률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보조 테이블 활용 (bureau, previous_application 등) → AUROC 0.78+ 목표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본격 fairness-aware 학습 — Reweighing, Adversarial Debiasing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Cross-LLM G-Eval — Claude judge로 Gemini 출력 평가 (self-bias 우회)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FT-Transformer 비교 모델 추가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인간 평가 (Plausibility) — 5점 리커트 척도, Cohen's κ 신뢰도 측정</w:t>
      </w:r>
    </w:p>
    <w:p>
      <w:pPr>
        <w:pStyle w:val="ListBullet"/>
      </w:pPr>
      <w:r>
        <w:rPr>
          <w:rFonts w:ascii="Malgun Gothic" w:hAnsi="Malgun Gothic"/>
          <w:sz w:val="22"/>
          <w:rFonts w:eastAsia="Malgun Gothic"/>
        </w:rPr>
        <w:t>한국어 도메인 특화 금융 LLM 미세조정 (QLoRA)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