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pPr>
        <w:pStyle w:val="Heading1"/>
      </w:pPr>
      <w:r>
        <w:rPr>
          <w:rFonts w:ascii="Malgun Gothic" w:hAnsi="Malgun Gothic" w:eastAsia="Malgun Gothic"/>
          <w:b/>
          <w:sz w:val="36"/>
        </w:rPr>
        <w:t>11. 한계와 향후 계획 (Future Work)</w:t>
      </w:r>
    </w:p>
    <w:p>
      <w:pPr>
        <w:pStyle w:val="ListBullet"/>
        <w:ind w:left="340"/>
      </w:pPr>
      <w:r>
        <w:rPr>
          <w:rFonts w:ascii="Malgun Gothic" w:hAnsi="Malgun Gothic" w:eastAsia="Malgun Gothic"/>
          <w:b w:val="0"/>
          <w:sz w:val="22"/>
        </w:rPr>
        <w:t>표본 크기: 평가 샘플이 10명으로 제한됨. 100~500명으로 확장 필요.</w:t>
      </w:r>
    </w:p>
    <w:p>
      <w:pPr>
        <w:pStyle w:val="ListBullet"/>
        <w:ind w:left="340"/>
      </w:pPr>
      <w:r>
        <w:rPr>
          <w:rFonts w:ascii="Malgun Gothic" w:hAnsi="Malgun Gothic" w:eastAsia="Malgun Gothic"/>
          <w:b w:val="0"/>
          <w:sz w:val="22"/>
        </w:rPr>
        <w:t>보조 테이블 미사용: bureau, previous_application 등을 추가하면 AUROC를 0.78+로 끌어올릴 여지가 있음.</w:t>
      </w:r>
    </w:p>
    <w:p>
      <w:pPr>
        <w:pStyle w:val="ListBullet"/>
        <w:ind w:left="340"/>
      </w:pPr>
      <w:r>
        <w:rPr>
          <w:rFonts w:ascii="Malgun Gothic" w:hAnsi="Malgun Gothic" w:eastAsia="Malgun Gothic"/>
          <w:b w:val="0"/>
          <w:sz w:val="22"/>
        </w:rPr>
        <w:t>G-Eval self-bias: Gemini가 자기 출력을 평가하므로 cross-LLM judge가 필요.</w:t>
      </w:r>
    </w:p>
    <w:p>
      <w:pPr>
        <w:pStyle w:val="ListBullet"/>
        <w:ind w:left="340"/>
      </w:pPr>
      <w:r>
        <w:rPr>
          <w:rFonts w:ascii="Malgun Gothic" w:hAnsi="Malgun Gothic" w:eastAsia="Malgun Gothic"/>
          <w:b w:val="0"/>
          <w:sz w:val="22"/>
        </w:rPr>
        <w:t>Counterfactual Test 정량화: 본 보고서에선 정성 비교만. SHAP 변수 ablation 후 출력 변화를 BERTScore 등으로 측정 필요.</w:t>
      </w:r>
    </w:p>
    <w:p>
      <w:pPr>
        <w:pStyle w:val="ListBullet"/>
        <w:ind w:left="340"/>
      </w:pPr>
      <w:r>
        <w:rPr>
          <w:rFonts w:ascii="Malgun Gothic" w:hAnsi="Malgun Gothic" w:eastAsia="Malgun Gothic"/>
          <w:b w:val="0"/>
          <w:sz w:val="22"/>
        </w:rPr>
        <w:t>Robustness 평가: 프롬프트 변형, 컨텍스트 셔플 등.</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인간 평가 (Plausibility) — 5점 척도 + Cohen's κ.</w:t>
      </w:r>
    </w:p>
    <w:p>
      <w:pPr>
        <w:pStyle w:val="ListBullet"/>
        <w:ind w:left="340"/>
      </w:pPr>
      <w:r>
        <w:rPr>
          <w:rFonts w:ascii="Malgun Gothic" w:hAnsi="Malgun Gothic" w:eastAsia="Malgun Gothic"/>
          <w:b w:val="0"/>
          <w:sz w:val="22"/>
        </w:rPr>
        <w:t>한국어 도메인 특화 금융 LLM 미세조정 (QLoRA).</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본 보고서 시점까지의 작업은 "미팅용 작동 프로토타입"의 완성입니다. 이후 Step 2~3에서는 위 한계를 하나씩 해소하며 본 논문으로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