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4F" w:sz="2"/>
              <w:left w:val="single" w:color="0D2D4F" w:sz="2"/>
              <w:bottom w:val="single" w:color="0D2D4F" w:sz="2"/>
              <w:right w:val="single" w:color="0D2D4F" w:sz="2"/>
            </w:tcBorders>
            <w:shd w:fill="0D2D4F" w:val="clear"/>
            <w:tcMar>
              <w:top w:type="dxa" w:w="220"/>
              <w:left w:type="dxa" w:w="260"/>
              <w:bottom w:type="dxa" w:w="220"/>
              <w:right w:type="dxa" w:w="260"/>
            </w:tcMar>
          </w:tcPr>
          <w:p>
            <w:pPr>
              <w:jc w:val="center"/>
            </w:pPr>
            <w:r>
              <w:rPr>
                <w:rFonts w:ascii="Consolas" w:cs="Consolas" w:eastAsia="Consolas" w:hAnsi="Consolas"/>
                <w:color w:val="9FC2EE"/>
                <w:spacing w:val="20"/>
                <w:sz w:val="16"/>
                <w:szCs w:val="16"/>
              </w:rPr>
              <w:t xml:space="preserve">HITL-DRIVEN ARCHITECTURE</w:t>
            </w:r>
          </w:p>
          <w:p>
            <w:pPr>
              <w:spacing w:before="100"/>
              <w:jc w:val="center"/>
            </w:pPr>
            <w:r>
              <w:rPr>
                <w:rFonts w:ascii="Georgia" w:cs="Georgia" w:eastAsia="Georgia" w:hAnsi="Georgia"/>
                <w:b/>
                <w:bCs/>
                <w:color w:val="FFFFFF"/>
                <w:sz w:val="32"/>
                <w:szCs w:val="32"/>
              </w:rPr>
              <w:t xml:space="preserve">H% Provenance Badge</w:t>
            </w:r>
          </w:p>
          <w:p>
            <w:pPr>
              <w:spacing w:before="60"/>
              <w:jc w:val="center"/>
            </w:pPr>
            <w:r>
              <w:rPr>
                <w:rFonts w:ascii="Georgia" w:cs="Georgia" w:eastAsia="Georgia" w:hAnsi="Georgia"/>
                <w:i/>
                <w:iCs/>
                <w:color w:val="9FC2EE"/>
                <w:sz w:val="20"/>
                <w:szCs w:val="20"/>
              </w:rPr>
              <w:t xml:space="preserve">Naming &amp; Placement Standard for the Maturity Table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B8873F" w:sz="24"/>
              <w:bottom w:val="single" w:color="FEF3C7" w:sz="2"/>
              <w:right w:val="single" w:color="FEF3C7" w:sz="2"/>
            </w:tcBorders>
            <w:shd w:fill="FEF3C7" w:val="clear"/>
            <w:tcMar>
              <w:top w:type="dxa" w:w="180"/>
              <w:left w:type="dxa" w:w="260"/>
              <w:bottom w:type="dxa" w:w="180"/>
              <w:right w:type="dxa" w:w="260"/>
            </w:tcMar>
          </w:tcPr>
          <w:p>
            <w:r>
              <w:rPr>
                <w:rFonts w:ascii="Segoe UI" w:cs="Segoe UI" w:eastAsia="Segoe UI" w:hAnsi="Segoe UI"/>
                <w:i/>
                <w:iCs/>
                <w:color w:val="7A5A1E"/>
                <w:sz w:val="19"/>
                <w:szCs w:val="19"/>
              </w:rPr>
              <w:t xml:space="preserve">Concept stage — not yet part of the framework. Directly operationalizes Rule 3 (Modeled vs. Observed, Always Labeled) and Rule 5 (H% Carries Its Disclaimer) from the Language &amp; Precision content rules, for the one place those rules matter most concretely: the Maturity Table’s H% figures. Nothing here changes live dashboard behavior until approved.</w:t>
            </w:r>
          </w:p>
        </w:tc>
      </w:tr>
    </w:tbl>
    <w:p>
      <w:pPr>
        <w:spacing w:after="100"/>
      </w:pPr>
    </w:p>
    <w:p>
      <w:pPr>
        <w:spacing w:after="120" w:before="320"/>
      </w:pPr>
      <w:r>
        <w:rPr>
          <w:rFonts w:ascii="Georgia" w:cs="Georgia" w:eastAsia="Georgia" w:hAnsi="Georgia"/>
          <w:b/>
          <w:bCs/>
          <w:color w:val="0D2D4F"/>
          <w:sz w:val="26"/>
          <w:szCs w:val="26"/>
        </w:rPr>
        <w:t xml:space="preserve">Why This Now</w:t>
      </w:r>
    </w:p>
    <w:p>
      <w:pPr>
        <w:spacing w:after="160"/>
      </w:pPr>
      <w:r>
        <w:rPr>
          <w:rFonts w:ascii="Segoe UI" w:cs="Segoe UI" w:eastAsia="Segoe UI" w:hAnsi="Segoe UI"/>
          <w:color w:val="444444"/>
          <w:sz w:val="21"/>
          <w:szCs w:val="21"/>
        </w:rPr>
        <w:t xml:space="preserve">Tim saw a CHRO Office Substack dashboard example tagging compensation figures "DIRECTIONAL" and "AI-INFERRED — FROM DIRECTIONAL P50" with a sources link, and liked the pattern of surfacing data provenance visibly rather than in a footnote. GiGi had separately flagged, in her September 3 review, that H% needs precision about whether it is modeled or observed — exactly what Rule 3 and Rule 5 of the Language &amp; Precision content rules already require. This standard is the concrete mechanism that satisfies both.</w:t>
      </w:r>
    </w:p>
    <w:p>
      <w:pPr>
        <w:spacing w:after="120" w:before="320"/>
      </w:pPr>
      <w:r>
        <w:rPr>
          <w:rFonts w:ascii="Georgia" w:cs="Georgia" w:eastAsia="Georgia" w:hAnsi="Georgia"/>
          <w:b/>
          <w:bCs/>
          <w:color w:val="0D2D4F"/>
          <w:sz w:val="26"/>
          <w:szCs w:val="26"/>
        </w:rPr>
        <w:t xml:space="preserve">The Real Distinction</w:t>
      </w:r>
    </w:p>
    <w:p>
      <w:pPr>
        <w:spacing w:after="160"/>
      </w:pPr>
      <w:r>
        <w:rPr>
          <w:rFonts w:ascii="Segoe UI" w:cs="Segoe UI" w:eastAsia="Segoe UI" w:hAnsi="Segoe UI"/>
          <w:color w:val="444444"/>
          <w:sz w:val="21"/>
          <w:szCs w:val="21"/>
        </w:rPr>
        <w:t xml:space="preserve">The badge is per-domain, not per-row. Only PCF 7.0 and 8.0 carry RACI-grounded pattern assignments traced to real APQC L4 activity text. The other 11 domains carry draft M1–M5 values that have never been run through that validation pass. Every row within one domain’s table already shares the same status, so tagging each row individually would be redundant.</w:t>
      </w:r>
    </w:p>
    <w:p>
      <w:pPr>
        <w:spacing w:after="120" w:before="320"/>
      </w:pPr>
      <w:r>
        <w:rPr>
          <w:rFonts w:ascii="Georgia" w:cs="Georgia" w:eastAsia="Georgia" w:hAnsi="Georgia"/>
          <w:b/>
          <w:bCs/>
          <w:color w:val="0D2D4F"/>
          <w:sz w:val="26"/>
          <w:szCs w:val="26"/>
        </w:rPr>
        <w:t xml:space="preserve">Placement Decided</w:t>
      </w:r>
    </w:p>
    <w:p>
      <w:pPr>
        <w:spacing w:after="160"/>
      </w:pPr>
      <w:r>
        <w:rPr>
          <w:rFonts w:ascii="Segoe UI" w:cs="Segoe UI" w:eastAsia="Segoe UI" w:hAnsi="Segoe UI"/>
          <w:color w:val="444444"/>
          <w:sz w:val="21"/>
          <w:szCs w:val="21"/>
        </w:rPr>
        <w:t xml:space="preserve">Option C: a status chip in the panel’s top-right corner, next to the table title, plus a "sources ▾" link that expands into the existing "Note on Where the Numbers Come From" methodology text at the point of use — rather than leaving it in a separate document. Two alternatives were sketched and set aside: a header-only chip with no expansion, and badging the M1/M3/M5 column headers directly (solves scroll-visibility, but adds a redundant sixth column for a value that is constant per domain).</w:t>
      </w:r>
    </w:p>
    <w:p>
      <w:pPr>
        <w:spacing w:after="120" w:before="320"/>
      </w:pPr>
      <w:r>
        <w:rPr>
          <w:rFonts w:ascii="Georgia" w:cs="Georgia" w:eastAsia="Georgia" w:hAnsi="Georgia"/>
          <w:b/>
          <w:bCs/>
          <w:color w:val="0D2D4F"/>
          <w:sz w:val="26"/>
          <w:szCs w:val="26"/>
        </w:rPr>
        <w:t xml:space="preserve">Naming Standard</w:t>
      </w:r>
    </w:p>
    <w:p>
      <w:pPr>
        <w:spacing w:after="160"/>
      </w:pPr>
      <w:r>
        <w:rPr>
          <w:rFonts w:ascii="Segoe UI" w:cs="Segoe UI" w:eastAsia="Segoe UI" w:hAnsi="Segoe UI"/>
          <w:color w:val="444444"/>
          <w:sz w:val="21"/>
          <w:szCs w:val="21"/>
        </w:rPr>
        <w:t xml:space="preserve">Matches the house style already locked in on the WIP ribbon ("Draft — Not Yet Part of the Framework") and the RACI table’s own footer ("RACI grounded in real APQC L4 activity text"): ALL-CAPS keyword, em dash, plain-language qualifier. "MODELED" is the umbrella word on every state, since nothing in the framework today is empirically observed — every H% figure is a reasoned estimate. The qualifier carries the real distinction: how well-grounded that model is, not whether it is a model at all. "Observed" is deliberately reserved, unused until the framework ever ingests genuinely measured data.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1800"/>
        <w:gridCol w:w="1680"/>
      </w:tblGrid>
      <w:tr>
        <w:tc>
          <w:tcPr>
            <w:tcW w:type="dxa" w:w="2400"/>
            <w:tcBorders>
              <w:top w:val="single" w:color="DDE3EE" w:sz="2"/>
              <w:left w:val="single" w:color="DDE3EE" w:sz="2"/>
              <w:bottom w:val="single" w:color="DDE3EE" w:sz="2"/>
              <w:right w:val="single" w:color="DDE3EE" w:sz="2"/>
            </w:tcBorders>
            <w:shd w:fill="1B4F8A" w:val="clear"/>
            <w:tcMar>
              <w:top w:type="dxa" w:w="100"/>
              <w:left w:type="dxa" w:w="120"/>
              <w:bottom w:type="dxa" w:w="60"/>
              <w:right w:type="dxa" w:w="120"/>
            </w:tcMar>
            <w:vAlign w:val="bottom"/>
          </w:tcPr>
          <w:p>
            <w:r>
              <w:rPr>
                <w:rFonts w:ascii="Segoe UI" w:cs="Segoe UI" w:eastAsia="Segoe UI" w:hAnsi="Segoe UI"/>
                <w:b/>
                <w:bCs/>
                <w:color w:val="FFFFFF"/>
                <w:sz w:val="18"/>
                <w:szCs w:val="18"/>
              </w:rPr>
              <w:t xml:space="preserve">State</w:t>
            </w:r>
          </w:p>
        </w:tc>
        <w:tc>
          <w:tcPr>
            <w:tcW w:type="dxa" w:w="3480"/>
            <w:tcBorders>
              <w:top w:val="single" w:color="DDE3EE" w:sz="2"/>
              <w:left w:val="single" w:color="DDE3EE" w:sz="2"/>
              <w:bottom w:val="single" w:color="DDE3EE" w:sz="2"/>
              <w:right w:val="single" w:color="DDE3EE" w:sz="2"/>
            </w:tcBorders>
            <w:shd w:fill="1B4F8A" w:val="clear"/>
            <w:tcMar>
              <w:top w:type="dxa" w:w="100"/>
              <w:left w:type="dxa" w:w="120"/>
              <w:bottom w:type="dxa" w:w="60"/>
              <w:right w:type="dxa" w:w="120"/>
            </w:tcMar>
            <w:vAlign w:val="bottom"/>
          </w:tcPr>
          <w:p>
            <w:r>
              <w:rPr>
                <w:rFonts w:ascii="Segoe UI" w:cs="Segoe UI" w:eastAsia="Segoe UI" w:hAnsi="Segoe UI"/>
                <w:b/>
                <w:bCs/>
                <w:color w:val="FFFFFF"/>
                <w:sz w:val="18"/>
                <w:szCs w:val="18"/>
              </w:rPr>
              <w:t xml:space="preserve">Badge Text</w:t>
            </w:r>
          </w:p>
        </w:tc>
        <w:tc>
          <w:tcPr>
            <w:tcW w:type="dxa" w:w="1800"/>
            <w:tcBorders>
              <w:top w:val="single" w:color="DDE3EE" w:sz="2"/>
              <w:left w:val="single" w:color="DDE3EE" w:sz="2"/>
              <w:bottom w:val="single" w:color="DDE3EE" w:sz="2"/>
              <w:right w:val="single" w:color="DDE3EE" w:sz="2"/>
            </w:tcBorders>
            <w:shd w:fill="1B4F8A" w:val="clear"/>
            <w:tcMar>
              <w:top w:type="dxa" w:w="100"/>
              <w:left w:type="dxa" w:w="120"/>
              <w:bottom w:type="dxa" w:w="60"/>
              <w:right w:type="dxa" w:w="120"/>
            </w:tcMar>
            <w:vAlign w:val="bottom"/>
          </w:tcPr>
          <w:p>
            <w:r>
              <w:rPr>
                <w:rFonts w:ascii="Segoe UI" w:cs="Segoe UI" w:eastAsia="Segoe UI" w:hAnsi="Segoe UI"/>
                <w:b/>
                <w:bCs/>
                <w:color w:val="FFFFFF"/>
                <w:sz w:val="18"/>
                <w:szCs w:val="18"/>
              </w:rPr>
              <w:t xml:space="preserve">Domains Today</w:t>
            </w:r>
          </w:p>
        </w:tc>
        <w:tc>
          <w:tcPr>
            <w:tcW w:type="dxa" w:w="1680"/>
            <w:tcBorders>
              <w:top w:val="single" w:color="DDE3EE" w:sz="2"/>
              <w:left w:val="single" w:color="DDE3EE" w:sz="2"/>
              <w:bottom w:val="single" w:color="DDE3EE" w:sz="2"/>
              <w:right w:val="single" w:color="DDE3EE" w:sz="2"/>
            </w:tcBorders>
            <w:shd w:fill="1B4F8A" w:val="clear"/>
            <w:tcMar>
              <w:top w:type="dxa" w:w="100"/>
              <w:left w:type="dxa" w:w="120"/>
              <w:bottom w:type="dxa" w:w="60"/>
              <w:right w:type="dxa" w:w="120"/>
            </w:tcMar>
            <w:vAlign w:val="bottom"/>
          </w:tcPr>
          <w:p>
            <w:r>
              <w:rPr>
                <w:rFonts w:ascii="Segoe UI" w:cs="Segoe UI" w:eastAsia="Segoe UI" w:hAnsi="Segoe UI"/>
                <w:b/>
                <w:bCs/>
                <w:color w:val="FFFFFF"/>
                <w:sz w:val="18"/>
                <w:szCs w:val="18"/>
              </w:rPr>
              <w:t xml:space="preserve">Meaning</w:t>
            </w:r>
          </w:p>
        </w:tc>
      </w:tr>
      <w:tr>
        <w:tc>
          <w:tcPr>
            <w:tcW w:type="dxa" w:w="24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bCs/>
                <w:i w:val="false"/>
                <w:iCs w:val="false"/>
                <w:color w:val="7A5A1E"/>
                <w:sz w:val="20"/>
                <w:szCs w:val="20"/>
              </w:rPr>
              <w:t xml:space="preserve">Not RACI-validated</w:t>
            </w:r>
          </w:p>
        </w:tc>
        <w:tc>
          <w:tcPr>
            <w:tcW w:type="dxa" w:w="348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MODELED — Pattern-Reference Estimate</w:t>
            </w:r>
          </w:p>
        </w:tc>
        <w:tc>
          <w:tcPr>
            <w:tcW w:type="dxa" w:w="18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11 domains</w:t>
            </w:r>
          </w:p>
        </w:tc>
        <w:tc>
          <w:tcPr>
            <w:tcW w:type="dxa" w:w="168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18"/>
                <w:szCs w:val="18"/>
              </w:rPr>
              <w:t xml:space="preserve">Derived from generic pattern-type references, not yet checked against real activity data</w:t>
            </w:r>
          </w:p>
        </w:tc>
      </w:tr>
      <w:tr>
        <w:tc>
          <w:tcPr>
            <w:tcW w:type="dxa" w:w="24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bCs/>
                <w:i w:val="false"/>
                <w:iCs w:val="false"/>
                <w:color w:val="1B4F8A"/>
                <w:sz w:val="20"/>
                <w:szCs w:val="20"/>
              </w:rPr>
              <w:t xml:space="preserve">RACI-grounded</w:t>
            </w:r>
          </w:p>
        </w:tc>
        <w:tc>
          <w:tcPr>
            <w:tcW w:type="dxa" w:w="348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MODELED — RACI-Grounded</w:t>
            </w:r>
          </w:p>
        </w:tc>
        <w:tc>
          <w:tcPr>
            <w:tcW w:type="dxa" w:w="18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PCF 7.0, 8.0</w:t>
            </w:r>
          </w:p>
        </w:tc>
        <w:tc>
          <w:tcPr>
            <w:tcW w:type="dxa" w:w="168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18"/>
                <w:szCs w:val="18"/>
              </w:rPr>
              <w:t xml:space="preserve">Still a reasoned estimate, not measured data — traced to real RACI assignment against actual APQC L4 activity text</w:t>
            </w:r>
          </w:p>
        </w:tc>
      </w:tr>
      <w:tr>
        <w:tc>
          <w:tcPr>
            <w:tcW w:type="dxa" w:w="24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bCs/>
                <w:i/>
                <w:iCs/>
                <w:color w:val="888888"/>
                <w:sz w:val="20"/>
                <w:szCs w:val="20"/>
              </w:rPr>
              <w:t xml:space="preserve">Reserved</w:t>
            </w:r>
          </w:p>
        </w:tc>
        <w:tc>
          <w:tcPr>
            <w:tcW w:type="dxa" w:w="348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iCs/>
                <w:color w:val="222222"/>
                <w:sz w:val="20"/>
                <w:szCs w:val="20"/>
              </w:rPr>
              <w:t xml:space="preserve">MODELED — RACI Assignment Underway</w:t>
            </w:r>
          </w:p>
        </w:tc>
        <w:tc>
          <w:tcPr>
            <w:tcW w:type="dxa" w:w="18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iCs/>
                <w:color w:val="222222"/>
                <w:sz w:val="20"/>
                <w:szCs w:val="20"/>
              </w:rPr>
              <w:t xml:space="preserve">None yet</w:t>
            </w:r>
          </w:p>
        </w:tc>
        <w:tc>
          <w:tcPr>
            <w:tcW w:type="dxa" w:w="168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iCs/>
                <w:color w:val="222222"/>
                <w:sz w:val="18"/>
                <w:szCs w:val="18"/>
              </w:rPr>
              <w:t xml:space="preserve">For a domain mid-RACI-build — happened once already with 8.0</w:t>
            </w:r>
          </w:p>
        </w:tc>
      </w:tr>
    </w:tbl>
    <w:p>
      <w:pPr>
        <w:spacing w:after="200"/>
      </w:pPr>
    </w:p>
    <w:p>
      <w:pPr>
        <w:spacing w:after="120" w:before="320"/>
      </w:pPr>
      <w:r>
        <w:rPr>
          <w:rFonts w:ascii="Georgia" w:cs="Georgia" w:eastAsia="Georgia" w:hAnsi="Georgia"/>
          <w:b/>
          <w:bCs/>
          <w:color w:val="0D2D4F"/>
          <w:sz w:val="26"/>
          <w:szCs w:val="26"/>
        </w:rPr>
        <w:t xml:space="preserve">Build Note</w:t>
      </w:r>
    </w:p>
    <w:p>
      <w:pPr>
        <w:spacing w:after="160"/>
      </w:pPr>
      <w:r>
        <w:rPr>
          <w:rFonts w:ascii="Segoe UI" w:cs="Segoe UI" w:eastAsia="Segoe UI" w:hAnsi="Segoe UI"/>
          <w:color w:val="444444"/>
          <w:sz w:val="21"/>
          <w:szCs w:val="21"/>
        </w:rPr>
        <w:t xml:space="preserve">Whenever this is implemented: the badge should flip automatically once a domain’s lenses.raci is present, not require a manual per-domain flag — the same self-updating pattern already used by the People View toggle’s hasRaci &amp;&amp; hasRoleTaxonomy gate.</w:t>
      </w:r>
    </w:p>
    <w:p>
      <w:pPr>
        <w:pBdr>
          <w:top w:val="single" w:color="DDE3EE" w:sz="4"/>
        </w:pBdr>
        <w:spacing w:before="400"/>
      </w:pPr>
    </w:p>
    <w:p>
      <w:pPr>
        <w:spacing w:before="200"/>
        <w:jc w:val="center"/>
      </w:pPr>
      <w:r>
        <w:rPr>
          <w:rFonts w:ascii="Segoe UI" w:cs="Segoe UI" w:eastAsia="Segoe UI" w:hAnsi="Segoe UI"/>
          <w:color w:val="888888"/>
          <w:sz w:val="18"/>
          <w:szCs w:val="18"/>
        </w:rPr>
        <w:t xml:space="preserve">Tim King &amp; Claude  |  Concept — For Review  |  September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2026-09-07T14:44:47.589Z</dcterms:created>
  <dcterms:modified xsi:type="dcterms:W3CDTF">2026-09-07T14:44:47.594Z</dcterms:modified>
</cp:coreProperties>
</file>

<file path=docProps/custom.xml><?xml version="1.0" encoding="utf-8"?>
<Properties xmlns="http://schemas.openxmlformats.org/officeDocument/2006/custom-properties" xmlns:vt="http://schemas.openxmlformats.org/officeDocument/2006/docPropsVTypes"/>
</file>