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Acquire-to-Retire</w:t>
      </w:r>
    </w:p>
    <w:p>
      <w:pPr>
        <w:spacing w:after="200"/>
      </w:pPr>
      <w:r>
        <w:rPr>
          <w:i/>
          <w:iCs/>
          <w:color w:val="888888"/>
          <w:sz w:val="17"/>
          <w:szCs w:val="17"/>
        </w:rPr>
        <w:t xml:space="preserve">PCF 9.4 — Capital planning &amp; fixed-asset project accounting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9</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6</w:t>
            </w:r>
          </w:p>
        </w:tc>
      </w:tr>
    </w:tbl>
    <w:p>
      <w:pPr>
        <w:spacing w:after="160" w:before="200"/>
      </w:pPr>
      <w:r>
        <w:rPr>
          <w:color w:val="444444"/>
          <w:sz w:val="18"/>
          <w:szCs w:val="18"/>
        </w:rPr>
        <w:t xml:space="preserve">This document reports confirmed R/A/C/I role accountability for the Acquire-to-Retire value stream (PCF 9.4)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9.4  </w:t>
            </w:r>
            <w:r>
              <w:rPr>
                <w:b/>
                <w:bCs/>
                <w:color w:val="0D2D4F"/>
                <w:sz w:val="14"/>
                <w:szCs w:val="14"/>
              </w:rPr>
              <w:t xml:space="preserve">Manage fixed-asset project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capital planning and project approval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capital investment policies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approve capital expenditure plans and budgets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and approve capital projects and fixed-asset acquisitions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financial justification for project approval</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9.4.2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capital project accounting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project account codes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Record project-related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track capital projects and budget spending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Close/Capitalize projects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Measure financial returns on completed capital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2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9.4 — Acquire-to-Retire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2026-08-18T22:40:16.242Z</dcterms:created>
  <dcterms:modified xsi:type="dcterms:W3CDTF">2026-08-18T22:40:16.242Z</dcterms:modified>
</cp:coreProperties>
</file>

<file path=docProps/custom.xml><?xml version="1.0" encoding="utf-8"?>
<Properties xmlns="http://schemas.openxmlformats.org/officeDocument/2006/custom-properties" xmlns:vt="http://schemas.openxmlformats.org/officeDocument/2006/docPropsVTypes"/>
</file>