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Plan-to-Perform</w:t>
      </w:r>
    </w:p>
    <w:p>
      <w:pPr>
        <w:spacing w:after="200"/>
      </w:pPr>
      <w:r>
        <w:rPr>
          <w:i/>
          <w:iCs/>
          <w:color w:val="888888"/>
          <w:sz w:val="17"/>
          <w:szCs w:val="17"/>
        </w:rPr>
        <w:t xml:space="preserve">PCF 9.1 — Budgeting, forecasting, cost management &amp; performance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5</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23</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8</w:t>
            </w:r>
          </w:p>
        </w:tc>
      </w:tr>
    </w:tbl>
    <w:p>
      <w:pPr>
        <w:spacing w:after="160" w:before="200"/>
      </w:pPr>
      <w:r>
        <w:rPr>
          <w:color w:val="444444"/>
          <w:sz w:val="18"/>
          <w:szCs w:val="18"/>
        </w:rPr>
        <w:t xml:space="preserve">This document reports confirmed R/A/C/I role accountability for the Plan-to-Perform value stream (PCF 9.1)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  </w:t>
            </w:r>
            <w:r>
              <w:rPr>
                <w:b/>
                <w:bCs/>
                <w:color w:val="0D2D4F"/>
                <w:sz w:val="14"/>
                <w:szCs w:val="14"/>
              </w:rPr>
              <w:t xml:space="preserve">Perform planning and management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financial resources strategy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p>
            <w:pPr>
              <w:spacing w:after="30"/>
            </w:pPr>
            <w:r>
              <w:rPr>
                <w:i w:val="false"/>
                <w:iCs w:val="false"/>
                <w:color w:val="444444"/>
                <w:sz w:val="14"/>
                <w:szCs w:val="14"/>
              </w:rPr>
              <w:t xml:space="preserve">VP Treasury</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planning/budgeting/forecasting</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maintain budget policies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periodic budgets and plans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Operationalize and implement plans to achieve budget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periodic financial forecasts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variance analysis against forecasts and budgets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cost accounting and control</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inventory accounting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profit center accounting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cost of sales analysis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product costing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variance analysis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on profitability</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cost management</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key cost drivers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Measure cost drivers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critical activities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asset resource deployment and utilization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Evaluate and manage financial performance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7.14%"/>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42.86%"/>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customer and product profitability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Evaluate new products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life cycle costing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Optimize customer and product mix</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Track performance of new-customer and product strategies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activity-based performance measures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continuous cost improvement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5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9.1 — Plan-to-Perform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2026-08-18T22:40:15.011Z</dcterms:created>
  <dcterms:modified xsi:type="dcterms:W3CDTF">2026-08-18T22:40:15.021Z</dcterms:modified>
</cp:coreProperties>
</file>

<file path=docProps/custom.xml><?xml version="1.0" encoding="utf-8"?>
<Properties xmlns="http://schemas.openxmlformats.org/officeDocument/2006/custom-properties" xmlns:vt="http://schemas.openxmlformats.org/officeDocument/2006/docPropsVTypes"/>
</file>