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40"/>
      </w:tblGrid>
      <w:tr>
        <w:tc>
          <w:tcPr>
            <w:tcW w:type="pct" w:w="100%"/>
            <w:tcBorders>
              <w:top w:val="none" w:color="FFFFFF" w:sz="0"/>
              <w:left w:val="none" w:color="FFFFFF" w:sz="0"/>
              <w:bottom w:val="none" w:color="FFFFFF" w:sz="0"/>
              <w:right w:val="none" w:color="FFFFFF" w:sz="0"/>
            </w:tcBorders>
            <w:shd w:fill="0D2D4F" w:val="clear"/>
            <w:tcMar>
              <w:top w:type="dxa" w:w="220"/>
              <w:left w:type="dxa" w:w="200"/>
              <w:bottom w:type="dxa" w:w="200"/>
              <w:right w:type="dxa" w:w="200"/>
            </w:tcMar>
          </w:tcPr>
          <w:p>
            <w:pPr>
              <w:spacing w:after="60"/>
              <w:jc w:val="center"/>
            </w:pPr>
            <w:r>
              <w:rPr>
                <w:rFonts w:ascii="Georgia" w:cs="Georgia" w:eastAsia="Georgia" w:hAnsi="Georgia"/>
                <w:b/>
                <w:bCs/>
                <w:color w:val="FFFFFF"/>
                <w:sz w:val="28"/>
                <w:szCs w:val="28"/>
              </w:rPr>
              <w:t xml:space="preserve">The Human-AI Partnership Framework</w:t>
            </w:r>
          </w:p>
          <w:p>
            <w:pPr>
              <w:jc w:val="center"/>
            </w:pPr>
            <w:r>
              <w:rPr>
                <w:i/>
                <w:iCs/>
                <w:color w:val="9FC2EE"/>
                <w:sz w:val="16"/>
                <w:szCs w:val="16"/>
              </w:rPr>
              <w:t xml:space="preserve">Where human judgment belongs</w:t>
            </w:r>
          </w:p>
        </w:tc>
      </w:tr>
    </w:tbl>
    <w:p>
      <w:pPr>
        <w:spacing w:after="40" w:before="220"/>
      </w:pPr>
      <w:r>
        <w:rPr>
          <w:rFonts w:ascii="Georgia" w:cs="Georgia" w:eastAsia="Georgia" w:hAnsi="Georgia"/>
          <w:b/>
          <w:bCs/>
          <w:color w:val="0D2D4F"/>
          <w:sz w:val="30"/>
          <w:szCs w:val="30"/>
        </w:rPr>
        <w:t xml:space="preserve">Time-to-Pay</w:t>
      </w:r>
    </w:p>
    <w:p>
      <w:pPr>
        <w:spacing w:after="200"/>
      </w:pPr>
      <w:r>
        <w:rPr>
          <w:i/>
          <w:iCs/>
          <w:color w:val="888888"/>
          <w:sz w:val="17"/>
          <w:szCs w:val="17"/>
        </w:rPr>
        <w:t xml:space="preserve">PCF 9.5 — Payroll processing — RACI Assignment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46"/>
        <w:gridCol w:w="3347"/>
        <w:gridCol w:w="3347"/>
      </w:tblGrid>
      <w:tr>
        <w:tc>
          <w:tcPr>
            <w:tcW w:type="pct" w:w="33.33%"/>
            <w:tcBorders>
              <w:top w:val="single" w:color="7AAED6" w:sz="2"/>
              <w:left w:val="single" w:color="7AAED6" w:sz="2"/>
              <w:bottom w:val="single" w:color="7AAED6" w:sz="2"/>
              <w:right w:val="single" w:color="7AAED6" w:sz="2"/>
            </w:tcBorders>
            <w:shd w:fill="FAFBFD" w:val="clear"/>
            <w:tcMar>
              <w:top w:type="dxa" w:w="120"/>
              <w:left w:type="dxa" w:w="140"/>
              <w:bottom w:type="dxa" w:w="120"/>
              <w:right w:type="dxa" w:w="100"/>
            </w:tcMar>
          </w:tcPr>
          <w:p>
            <w:pPr>
              <w:spacing w:after="40"/>
            </w:pPr>
            <w:r>
              <w:rPr>
                <w:color w:val="888888"/>
                <w:sz w:val="13"/>
                <w:szCs w:val="13"/>
              </w:rPr>
              <w:t xml:space="preserve">L3 PROCESSES</w:t>
            </w:r>
          </w:p>
          <w:p>
            <w:r>
              <w:rPr>
                <w:b/>
                <w:bCs/>
                <w:color w:val="1B4F8A"/>
                <w:sz w:val="22"/>
                <w:szCs w:val="22"/>
              </w:rPr>
              <w:t xml:space="preserve">3</w:t>
            </w:r>
          </w:p>
        </w:tc>
        <w:tc>
          <w:tcPr>
            <w:tcW w:type="pct" w:w="33.34%"/>
            <w:tcBorders>
              <w:top w:val="single" w:color="7AAED6" w:sz="2"/>
              <w:left w:val="single" w:color="7AAED6" w:sz="2"/>
              <w:bottom w:val="single" w:color="7AAED6" w:sz="2"/>
              <w:right w:val="single" w:color="7AAED6" w:sz="2"/>
            </w:tcBorders>
            <w:shd w:fill="FAFBFD" w:val="clear"/>
            <w:tcMar>
              <w:top w:type="dxa" w:w="120"/>
              <w:left w:type="dxa" w:w="140"/>
              <w:bottom w:type="dxa" w:w="120"/>
              <w:right w:type="dxa" w:w="100"/>
            </w:tcMar>
          </w:tcPr>
          <w:p>
            <w:pPr>
              <w:spacing w:after="40"/>
            </w:pPr>
            <w:r>
              <w:rPr>
                <w:color w:val="888888"/>
                <w:sz w:val="13"/>
                <w:szCs w:val="13"/>
              </w:rPr>
              <w:t xml:space="preserve">L4 ACTIVITIES</w:t>
            </w:r>
          </w:p>
          <w:p>
            <w:r>
              <w:rPr>
                <w:b/>
                <w:bCs/>
                <w:color w:val="1B4F8A"/>
                <w:sz w:val="22"/>
                <w:szCs w:val="22"/>
              </w:rPr>
              <w:t xml:space="preserve">18</w:t>
            </w:r>
          </w:p>
        </w:tc>
        <w:tc>
          <w:tcPr>
            <w:tcW w:type="pct" w:w="33.34%"/>
            <w:tcBorders>
              <w:top w:val="single" w:color="7AAED6" w:sz="2"/>
              <w:left w:val="single" w:color="7AAED6" w:sz="2"/>
              <w:bottom w:val="single" w:color="7AAED6" w:sz="2"/>
              <w:right w:val="single" w:color="7AAED6" w:sz="2"/>
            </w:tcBorders>
            <w:shd w:fill="FAFBFD" w:val="clear"/>
            <w:tcMar>
              <w:top w:type="dxa" w:w="120"/>
              <w:left w:type="dxa" w:w="140"/>
              <w:bottom w:type="dxa" w:w="120"/>
              <w:right w:type="dxa" w:w="100"/>
            </w:tcMar>
          </w:tcPr>
          <w:p>
            <w:pPr>
              <w:spacing w:after="40"/>
            </w:pPr>
            <w:r>
              <w:rPr>
                <w:color w:val="888888"/>
                <w:sz w:val="13"/>
                <w:szCs w:val="13"/>
              </w:rPr>
              <w:t xml:space="preserve">ROLES INVOLVED</w:t>
            </w:r>
          </w:p>
          <w:p>
            <w:r>
              <w:rPr>
                <w:b/>
                <w:bCs/>
                <w:color w:val="1B4F8A"/>
                <w:sz w:val="22"/>
                <w:szCs w:val="22"/>
              </w:rPr>
              <w:t xml:space="preserve">7</w:t>
            </w:r>
          </w:p>
        </w:tc>
      </w:tr>
    </w:tbl>
    <w:p>
      <w:pPr>
        <w:spacing w:after="160" w:before="200"/>
      </w:pPr>
      <w:r>
        <w:rPr>
          <w:color w:val="444444"/>
          <w:sz w:val="18"/>
          <w:szCs w:val="18"/>
        </w:rPr>
        <w:t xml:space="preserve">This document reports confirmed R/A/C/I role accountability for the Time-to-Pay value stream (PCF 9.5) — every L4 activity inherits its parent L3's confirmed RACI, since RACI in this framework is assigned at L3 process granularity, grounded directly in real APQC L4 activity text against the Organizational Role Taxonomy.</w:t>
      </w:r>
    </w:p>
    <w:p>
      <w:pPr>
        <w:spacing w:after="40" w:before="100"/>
      </w:pPr>
      <w:r>
        <w:rPr>
          <w:b/>
          <w:bCs/>
          <w:color w:val="0D2D4F"/>
          <w:sz w:val="19"/>
          <w:szCs w:val="19"/>
        </w:rPr>
        <w:t xml:space="preserve">RACI Assignment</w:t>
      </w:r>
    </w:p>
    <w:p>
      <w:pPr>
        <w:spacing w:after="160"/>
      </w:pPr>
      <w:r>
        <w:rPr>
          <w:color w:val="888888"/>
          <w:sz w:val="14"/>
          <w:szCs w:val="14"/>
        </w:rPr>
        <w:t xml:space="preserve">R = Responsible · A = Accountable · C = Consulted · I = Informed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50"/>
        <w:gridCol w:w="3200"/>
        <w:gridCol w:w="1000"/>
        <w:gridCol w:w="1450"/>
        <w:gridCol w:w="1450"/>
        <w:gridCol w:w="1200"/>
        <w:gridCol w:w="990"/>
      </w:tblGrid>
      <w:tr>
        <w:trPr>
          <w:tblHeader/>
        </w:trPr>
        <w:tc>
          <w:tcPr>
            <w:tcW w:type="pct" w:w="7.47%"/>
            <w:shd w:fill="1B4F8A" w:val="clear"/>
            <w:tcMar>
              <w:top w:type="dxa" w:w="60"/>
              <w:left w:type="dxa" w:w="140"/>
              <w:bottom w:type="dxa" w:w="60"/>
              <w:right w:type="dxa" w:w="60"/>
            </w:tcMar>
            <w:vAlign w:val="bottom"/>
          </w:tcPr>
          <w:p>
            <w:pPr>
              <w:jc w:val="left"/>
            </w:pPr>
            <w:r>
              <w:rPr>
                <w:b/>
                <w:bCs/>
                <w:color w:val="FFFFFF"/>
                <w:sz w:val="11"/>
                <w:szCs w:val="11"/>
              </w:rPr>
              <w:t xml:space="preserve">PCF</w:t>
            </w:r>
          </w:p>
        </w:tc>
        <w:tc>
          <w:tcPr>
            <w:tcW w:type="pct" w:w="31.87%"/>
            <w:shd w:fill="1B4F8A" w:val="clear"/>
            <w:tcMar>
              <w:top w:type="dxa" w:w="60"/>
              <w:left w:type="dxa" w:w="140"/>
              <w:bottom w:type="dxa" w:w="60"/>
              <w:right w:type="dxa" w:w="60"/>
            </w:tcMar>
            <w:vAlign w:val="bottom"/>
          </w:tcPr>
          <w:p>
            <w:pPr>
              <w:jc w:val="left"/>
            </w:pPr>
            <w:r>
              <w:rPr>
                <w:b/>
                <w:bCs/>
                <w:color w:val="FFFFFF"/>
                <w:sz w:val="11"/>
                <w:szCs w:val="11"/>
              </w:rPr>
              <w:t xml:space="preserve">L3-Process / L4-Activity</w:t>
            </w:r>
          </w:p>
        </w:tc>
        <w:tc>
          <w:tcPr>
            <w:tcW w:type="pct" w:w="9.96%"/>
            <w:shd w:fill="1B4F8A" w:val="clear"/>
            <w:vAlign w:val="bottom"/>
          </w:tcPr>
          <w:p>
            <w:pPr>
              <w:jc w:val="center"/>
            </w:pPr>
            <w:r>
              <w:rPr>
                <w:b/>
                <w:bCs/>
                <w:color w:val="FFFFFF"/>
                <w:sz w:val="11"/>
                <w:szCs w:val="11"/>
              </w:rPr>
              <w:t xml:space="preserve">Pattern</w:t>
            </w:r>
          </w:p>
        </w:tc>
        <w:tc>
          <w:tcPr>
            <w:tcW w:type="pct" w:w="14.44%"/>
            <w:shd w:fill="1B4F8A" w:val="clear"/>
            <w:tcMar>
              <w:top w:type="dxa" w:w="60"/>
              <w:left w:type="dxa" w:w="140"/>
              <w:bottom w:type="dxa" w:w="60"/>
              <w:right w:type="dxa" w:w="60"/>
            </w:tcMar>
            <w:vAlign w:val="bottom"/>
          </w:tcPr>
          <w:p>
            <w:pPr>
              <w:jc w:val="left"/>
            </w:pPr>
            <w:r>
              <w:rPr>
                <w:b/>
                <w:bCs/>
                <w:color w:val="FFFFFF"/>
                <w:sz w:val="11"/>
                <w:szCs w:val="11"/>
              </w:rPr>
              <w:t xml:space="preserve">R — Responsible</w:t>
            </w:r>
          </w:p>
        </w:tc>
        <w:tc>
          <w:tcPr>
            <w:tcW w:type="pct" w:w="14.44%"/>
            <w:shd w:fill="1B4F8A" w:val="clear"/>
            <w:vAlign w:val="bottom"/>
          </w:tcPr>
          <w:p>
            <w:pPr>
              <w:jc w:val="center"/>
            </w:pPr>
            <w:r>
              <w:rPr>
                <w:b/>
                <w:bCs/>
                <w:color w:val="FFFFFF"/>
                <w:sz w:val="11"/>
                <w:szCs w:val="11"/>
              </w:rPr>
              <w:t xml:space="preserve">★</w:t>
            </w:r>
            <w:r>
              <w:rPr>
                <w:b/>
                <w:bCs/>
                <w:color w:val="FFFFFF"/>
                <w:sz w:val="11"/>
                <w:szCs w:val="11"/>
              </w:rPr>
              <w:br/>
              <w:t xml:space="preserve">A — Accountable</w:t>
            </w:r>
          </w:p>
        </w:tc>
        <w:tc>
          <w:tcPr>
            <w:tcW w:type="pct" w:w="11.95%"/>
            <w:shd w:fill="1B4F8A" w:val="clear"/>
            <w:tcMar>
              <w:top w:type="dxa" w:w="60"/>
              <w:left w:type="dxa" w:w="140"/>
              <w:bottom w:type="dxa" w:w="60"/>
              <w:right w:type="dxa" w:w="60"/>
            </w:tcMar>
            <w:vAlign w:val="bottom"/>
          </w:tcPr>
          <w:p>
            <w:pPr>
              <w:jc w:val="left"/>
            </w:pPr>
            <w:r>
              <w:rPr>
                <w:b/>
                <w:bCs/>
                <w:color w:val="FFFFFF"/>
                <w:sz w:val="11"/>
                <w:szCs w:val="11"/>
              </w:rPr>
              <w:t xml:space="preserve">C — Consulted</w:t>
            </w:r>
          </w:p>
        </w:tc>
        <w:tc>
          <w:tcPr>
            <w:tcW w:type="pct" w:w="9.86%"/>
            <w:shd w:fill="1B4F8A" w:val="clear"/>
            <w:tcMar>
              <w:top w:type="dxa" w:w="60"/>
              <w:left w:type="dxa" w:w="140"/>
              <w:bottom w:type="dxa" w:w="60"/>
              <w:right w:type="dxa" w:w="60"/>
            </w:tcMar>
            <w:vAlign w:val="bottom"/>
          </w:tcPr>
          <w:p>
            <w:pPr>
              <w:jc w:val="left"/>
            </w:pPr>
            <w:r>
              <w:rPr>
                <w:b/>
                <w:bCs/>
                <w:color w:val="FFFFFF"/>
                <w:sz w:val="11"/>
                <w:szCs w:val="11"/>
              </w:rPr>
              <w:t xml:space="preserve">I — Informed</w:t>
            </w:r>
          </w:p>
        </w:tc>
      </w:tr>
      <w:tr>
        <w:tc>
          <w:tcPr>
            <w:tcW w:type="pct" w:w="100%"/>
            <w:gridSpan w:val="7"/>
            <w:tcBorders>
              <w:top w:val="single" w:color="7AAED6" w:sz="2"/>
              <w:left w:val="single" w:color="7AAED6" w:sz="2"/>
              <w:bottom w:val="single" w:color="7AAED6" w:sz="2"/>
              <w:right w:val="single" w:color="7AAED6" w:sz="2"/>
            </w:tcBorders>
            <w:shd w:fill="EEF3FA" w:val="clear"/>
          </w:tcPr>
          <w:p>
            <w:r>
              <w:rPr>
                <w:b/>
                <w:bCs/>
                <w:color w:val="0D2D4F"/>
                <w:sz w:val="14"/>
                <w:szCs w:val="14"/>
              </w:rPr>
              <w:t xml:space="preserve">9.5  </w:t>
            </w:r>
            <w:r>
              <w:rPr>
                <w:b/>
                <w:bCs/>
                <w:color w:val="0D2D4F"/>
                <w:sz w:val="14"/>
                <w:szCs w:val="14"/>
              </w:rPr>
              <w:t xml:space="preserve">Process payroll</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9.5.1</w:t>
            </w:r>
          </w:p>
        </w:tc>
        <w:tc>
          <w:tcPr>
            <w:tcW w:type="pct" w:w="31.8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Report time</w:t>
            </w:r>
          </w:p>
        </w:tc>
        <w:tc>
          <w:tcPr>
            <w:tcW w:type="pct" w:w="9.96%"/>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tblGrid>
            <w:tr>
              <w:trPr>
                <w:trHeight w:val="180" w:hRule="exact"/>
              </w:trPr>
              <w:tc>
                <w:tcPr>
                  <w:tcW w:type="pct" w:w="40%"/>
                  <w:tcBorders>
                    <w:top w:val="none" w:color="FFFFFF" w:sz="0"/>
                    <w:left w:val="single" w:color="FFFFFF" w:sz="4"/>
                    <w:bottom w:val="none" w:color="FFFFFF" w:sz="0"/>
                    <w:right w:val="single" w:color="FFFFFF" w:sz="4"/>
                  </w:tcBorders>
                  <w:shd w:fill="A79AE0" w:val="clear"/>
                  <w:tcMar>
                    <w:top w:type="dxa" w:w="0"/>
                    <w:left w:type="dxa" w:w="0"/>
                    <w:bottom w:type="dxa" w:w="0"/>
                    <w:right w:type="dxa" w:w="0"/>
                  </w:tcMar>
                </w:tcPr>
                <w:p/>
              </w:tc>
              <w:tc>
                <w:tcPr>
                  <w:tcW w:type="pct" w:w="20%"/>
                  <w:tcBorders>
                    <w:top w:val="none" w:color="FFFFFF" w:sz="0"/>
                    <w:left w:val="single" w:color="FFFFFF" w:sz="4"/>
                    <w:bottom w:val="none" w:color="FFFFFF" w:sz="0"/>
                    <w:right w:val="single" w:color="FFFFFF" w:sz="4"/>
                  </w:tcBorders>
                  <w:shd w:fill="5EB8E0" w:val="clear"/>
                  <w:tcMar>
                    <w:top w:type="dxa" w:w="0"/>
                    <w:left w:type="dxa" w:w="0"/>
                    <w:bottom w:type="dxa" w:w="0"/>
                    <w:right w:type="dxa" w:w="0"/>
                  </w:tcMar>
                </w:tcPr>
                <w:p/>
              </w:tc>
              <w:tc>
                <w:tcPr>
                  <w:tcW w:type="pct" w:w="40%"/>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Staff Accountant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1.9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HR Generalist*</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9.5.1.1</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Establish policies and procedures</w:t>
            </w:r>
          </w:p>
        </w:tc>
        <w:tc>
          <w:tcPr>
            <w:tcW w:type="pct" w:w="9.96%"/>
            <w:tcBorders>
              <w:top w:val="single" w:color="7AAED6" w:sz="2"/>
              <w:left w:val="single" w:color="7AAED6" w:sz="2"/>
              <w:bottom w:val="single" w:color="7AAED6" w:sz="2"/>
              <w:right w:val="single" w:color="7AAED6" w:sz="2"/>
            </w:tcBorders>
            <w:shd w:fill="E0F2FE" w:val="clear"/>
            <w:vAlign w:val="top"/>
          </w:tcPr>
          <w:p>
            <w:pPr>
              <w:jc w:val="center"/>
            </w:pPr>
            <w:r>
              <w:rPr>
                <w:b/>
                <w:bCs/>
                <w:color w:val="0369A1"/>
                <w:sz w:val="11"/>
                <w:szCs w:val="11"/>
              </w:rPr>
              <w:t xml:space="preserve">Document</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Staff Accountant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1.9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HR Generalist*</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9.5.1.2</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Collect and record employee time worked</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Staff Accountant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1.9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HR Generalist*</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9.5.1.3</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Analyze and report paid and unpaid leave</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Staff Accountant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1.9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HR Generalist*</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9.5.1.4</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Monitor regular, overtime, and other hours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Staff Accountant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1.9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HR Generalist*</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9.5.1.5</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Analyze and report employee utilization</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Staff Accountant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1.9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HR Generalist*</w:t>
            </w:r>
          </w:p>
        </w:tc>
      </w:tr>
      <w:tr>
        <w:tc>
          <w:tcPr>
            <w:tcW w:type="pct" w:w="7.47%"/>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000000"/>
                <w:sz w:val="13"/>
                <w:szCs w:val="13"/>
              </w:rPr>
              <w:t xml:space="preserve">9.5.2</w:t>
            </w:r>
          </w:p>
        </w:tc>
        <w:tc>
          <w:tcPr>
            <w:tcW w:type="pct" w:w="31.87%"/>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444444"/>
                <w:sz w:val="14"/>
                <w:szCs w:val="14"/>
              </w:rPr>
              <w:t xml:space="preserve">Manage pay</w:t>
            </w:r>
          </w:p>
        </w:tc>
        <w:tc>
          <w:tcPr>
            <w:tcW w:type="pct" w:w="9.96%"/>
            <w:tcBorders>
              <w:top w:val="single" w:color="7AAED6" w:sz="2"/>
              <w:left w:val="single" w:color="7AAED6" w:sz="2"/>
              <w:bottom w:val="single" w:color="7AAED6" w:sz="2"/>
              <w:right w:val="single" w:color="7AAED6" w:sz="2"/>
            </w:tcBorders>
            <w:shd w:fill="F9FBFD"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tblGrid>
            <w:tr>
              <w:trPr>
                <w:trHeight w:val="180" w:hRule="exact"/>
              </w:trPr>
              <w:tc>
                <w:tcPr>
                  <w:tcW w:type="pct" w:w="100%"/>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44%"/>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Staff Accountant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1.95%"/>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Treasury Manager</w:t>
            </w:r>
          </w:p>
        </w:tc>
        <w:tc>
          <w:tcPr>
            <w:tcW w:type="pct" w:w="9.86%"/>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HRIS Analyst*</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9.5.2.1</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Enter employee time worked into payroll system</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Staff Accountant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Treasury Manager</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HRIS Analyst*</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9.5.2.2</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Maintain and administer employee earnings information</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Staff Accountant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Treasury Manager</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HRIS Analyst*</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9.5.2.3</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Maintain and administer applicable deductions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Staff Accountant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Treasury Manager</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HRIS Analyst*</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9.5.2.4</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Monitor changes in tax status of employees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Staff Accountant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Treasury Manager</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HRIS Analyst*</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9.5.2.5</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Process and distribute payments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Staff Accountant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Treasury Manager</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HRIS Analyst*</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9.5.2.6</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Process and distribute manual checks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Staff Accountant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Treasury Manager</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HRIS Analyst*</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9.5.2.7</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Process period-end adjustments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Staff Accountant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Treasury Manager</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HRIS Analyst*</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9.5.2.8</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Respond to employee payroll inquiries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Staff Accountant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Treasury Manager</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HRIS Analyst*</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9.5.3</w:t>
            </w:r>
          </w:p>
        </w:tc>
        <w:tc>
          <w:tcPr>
            <w:tcW w:type="pct" w:w="31.8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Manage and process payroll taxes</w:t>
            </w:r>
          </w:p>
        </w:tc>
        <w:tc>
          <w:tcPr>
            <w:tcW w:type="pct" w:w="9.96%"/>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tblGrid>
            <w:tr>
              <w:trPr>
                <w:trHeight w:val="180" w:hRule="exact"/>
              </w:trPr>
              <w:tc>
                <w:tcPr>
                  <w:tcW w:type="pct" w:w="20%"/>
                  <w:tcBorders>
                    <w:top w:val="none" w:color="FFFFFF" w:sz="0"/>
                    <w:left w:val="single" w:color="FFFFFF" w:sz="4"/>
                    <w:bottom w:val="none" w:color="FFFFFF" w:sz="0"/>
                    <w:right w:val="single" w:color="FFFFFF" w:sz="4"/>
                  </w:tcBorders>
                  <w:shd w:fill="A79AE0" w:val="clear"/>
                  <w:tcMar>
                    <w:top w:type="dxa" w:w="0"/>
                    <w:left w:type="dxa" w:w="0"/>
                    <w:bottom w:type="dxa" w:w="0"/>
                    <w:right w:type="dxa" w:w="0"/>
                  </w:tcMar>
                </w:tcPr>
                <w:p/>
              </w:tc>
              <w:tc>
                <w:tcPr>
                  <w:tcW w:type="pct" w:w="80%"/>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Tax Specialist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Tax Manager</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Accounting</w:t>
            </w:r>
          </w:p>
        </w:tc>
        <w:tc>
          <w:tcPr>
            <w:tcW w:type="pct" w:w="9.86%"/>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9.5.3.1</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Develop tax plan</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Tax Specialist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Tax Manager</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Accounting</w:t>
            </w:r>
          </w:p>
        </w:tc>
        <w:tc>
          <w:tcPr>
            <w:tcW w:type="pct" w:w="9.86%"/>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9.5.3.2</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Manage tax plan</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Tax Specialist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Tax Manager</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Director of Accounting</w:t>
            </w:r>
          </w:p>
        </w:tc>
        <w:tc>
          <w:tcPr>
            <w:tcW w:type="pct" w:w="9.86%"/>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9.5.3.3</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Calculate and pay applicable payroll taxes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Tax Specialist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Tax Manager</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Accounting</w:t>
            </w:r>
          </w:p>
        </w:tc>
        <w:tc>
          <w:tcPr>
            <w:tcW w:type="pct" w:w="9.86%"/>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9.5.3.4</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Produce and distribute employee annual tax statements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Tax Specialist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Tax Manager</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Director of Accounting</w:t>
            </w:r>
          </w:p>
        </w:tc>
        <w:tc>
          <w:tcPr>
            <w:tcW w:type="pct" w:w="9.86%"/>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9.5.3.5</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File regulatory payroll tax forms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Tax Specialist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Tax Manager</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Accounting</w:t>
            </w:r>
          </w:p>
        </w:tc>
        <w:tc>
          <w:tcPr>
            <w:tcW w:type="pct" w:w="9.86%"/>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bl>
    <w:p>
      <w:pPr>
        <w:spacing w:after="100" w:before="1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1600"/>
        <w:gridCol w:w="1800"/>
        <w:gridCol w:w="1600"/>
        <w:gridCol w:w="1940"/>
      </w:tblGrid>
      <w:tr>
        <w:tc>
          <w:tcPr>
            <w:tcW w:type="pct" w:w="14.94%"/>
            <w:tcBorders>
              <w:top w:val="none" w:color="FFFFFF" w:sz="0"/>
              <w:left w:val="none" w:color="FFFFFF" w:sz="0"/>
              <w:bottom w:val="none" w:color="FFFFFF" w:sz="0"/>
              <w:right w:val="none" w:color="FFFFFF" w:sz="0"/>
            </w:tcBorders>
          </w:tcPr>
          <w:p>
            <w:r>
              <w:rPr>
                <w:color w:val="1B4F8A"/>
                <w:sz w:val="13"/>
                <w:szCs w:val="13"/>
              </w:rPr>
              <w:t xml:space="preserve">■ </w:t>
            </w:r>
            <w:r>
              <w:rPr>
                <w:color w:val="444444"/>
                <w:sz w:val="13"/>
                <w:szCs w:val="13"/>
              </w:rPr>
              <w:t xml:space="preserve">Decision</w:t>
            </w:r>
          </w:p>
        </w:tc>
        <w:tc>
          <w:tcPr>
            <w:tcW w:type="pct" w:w="15.94%"/>
            <w:tcBorders>
              <w:top w:val="none" w:color="FFFFFF" w:sz="0"/>
              <w:left w:val="none" w:color="FFFFFF" w:sz="0"/>
              <w:bottom w:val="none" w:color="FFFFFF" w:sz="0"/>
              <w:right w:val="none" w:color="FFFFFF" w:sz="0"/>
            </w:tcBorders>
          </w:tcPr>
          <w:p>
            <w:r>
              <w:rPr>
                <w:color w:val="534AB7"/>
                <w:sz w:val="13"/>
                <w:szCs w:val="13"/>
              </w:rPr>
              <w:t xml:space="preserve">■ </w:t>
            </w:r>
            <w:r>
              <w:rPr>
                <w:color w:val="444444"/>
                <w:sz w:val="13"/>
                <w:szCs w:val="13"/>
              </w:rPr>
              <w:t xml:space="preserve">Knowledge</w:t>
            </w:r>
          </w:p>
        </w:tc>
        <w:tc>
          <w:tcPr>
            <w:tcW w:type="pct" w:w="15.94%"/>
            <w:tcBorders>
              <w:top w:val="none" w:color="FFFFFF" w:sz="0"/>
              <w:left w:val="none" w:color="FFFFFF" w:sz="0"/>
              <w:bottom w:val="none" w:color="FFFFFF" w:sz="0"/>
              <w:right w:val="none" w:color="FFFFFF" w:sz="0"/>
            </w:tcBorders>
          </w:tcPr>
          <w:p>
            <w:r>
              <w:rPr>
                <w:color w:val="0369A1"/>
                <w:sz w:val="13"/>
                <w:szCs w:val="13"/>
              </w:rPr>
              <w:t xml:space="preserve">■ </w:t>
            </w:r>
            <w:r>
              <w:rPr>
                <w:color w:val="444444"/>
                <w:sz w:val="13"/>
                <w:szCs w:val="13"/>
              </w:rPr>
              <w:t xml:space="preserve">Document</w:t>
            </w:r>
          </w:p>
        </w:tc>
        <w:tc>
          <w:tcPr>
            <w:tcW w:type="pct" w:w="17.93%"/>
            <w:tcBorders>
              <w:top w:val="none" w:color="FFFFFF" w:sz="0"/>
              <w:left w:val="none" w:color="FFFFFF" w:sz="0"/>
              <w:bottom w:val="none" w:color="FFFFFF" w:sz="0"/>
              <w:right w:val="none" w:color="FFFFFF" w:sz="0"/>
            </w:tcBorders>
          </w:tcPr>
          <w:p>
            <w:r>
              <w:rPr>
                <w:color w:val="166534"/>
                <w:sz w:val="13"/>
                <w:szCs w:val="13"/>
              </w:rPr>
              <w:t xml:space="preserve">■ </w:t>
            </w:r>
            <w:r>
              <w:rPr>
                <w:color w:val="444444"/>
                <w:sz w:val="13"/>
                <w:szCs w:val="13"/>
              </w:rPr>
              <w:t xml:space="preserve">Transaction</w:t>
            </w:r>
          </w:p>
        </w:tc>
        <w:tc>
          <w:tcPr>
            <w:tcW w:type="pct" w:w="15.94%"/>
            <w:tcBorders>
              <w:top w:val="none" w:color="FFFFFF" w:sz="0"/>
              <w:left w:val="none" w:color="FFFFFF" w:sz="0"/>
              <w:bottom w:val="none" w:color="FFFFFF" w:sz="0"/>
              <w:right w:val="none" w:color="FFFFFF" w:sz="0"/>
            </w:tcBorders>
          </w:tcPr>
          <w:p>
            <w:r>
              <w:rPr>
                <w:color w:val="991B1B"/>
                <w:sz w:val="13"/>
                <w:szCs w:val="13"/>
              </w:rPr>
              <w:t xml:space="preserve">■ </w:t>
            </w:r>
            <w:r>
              <w:rPr>
                <w:color w:val="444444"/>
                <w:sz w:val="13"/>
                <w:szCs w:val="13"/>
              </w:rPr>
              <w:t xml:space="preserve">Exception</w:t>
            </w:r>
          </w:p>
        </w:tc>
        <w:tc>
          <w:tcPr>
            <w:tcW w:type="pct" w:w="19.32%"/>
            <w:tcBorders>
              <w:top w:val="none" w:color="FFFFFF" w:sz="0"/>
              <w:left w:val="none" w:color="FFFFFF" w:sz="0"/>
              <w:bottom w:val="none" w:color="FFFFFF" w:sz="0"/>
              <w:right w:val="none" w:color="FFFFFF" w:sz="0"/>
            </w:tcBorders>
          </w:tcPr>
          <w:p/>
        </w:tc>
      </w:tr>
    </w:tbl>
    <w:p>
      <w:pPr>
        <w:spacing w:before="100"/>
      </w:pPr>
      <w:r>
        <w:rPr>
          <w:i/>
          <w:iCs/>
          <w:color w:val="888888"/>
          <w:sz w:val="13"/>
          <w:szCs w:val="13"/>
        </w:rPr>
        <w:t xml:space="preserve">★ A = Accountable · RACI grounded in real APQC L4 activity text · 3 confirmed L3 assignments in this value stream · © Timothy P. King &amp; Claude (Anthropic) 2026</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3"/>
        <w:szCs w:val="13"/>
      </w:rPr>
      <w:t xml:space="preserve">Page </w:t>
    </w:r>
    <w:r>
      <w:rPr>
        <w:color w:val="888888"/>
        <w:sz w:val="13"/>
        <w:szCs w:val="13"/>
      </w:rPr>
      <w:fldChar w:fldCharType="begin"/>
      <w:instrText xml:space="preserve">PAGE</w:instrText>
      <w:fldChar w:fldCharType="separate"/>
      <w:fldChar w:fldCharType="end"/>
    </w:r>
    <w:r>
      <w:rPr>
        <w:color w:val="888888"/>
        <w:sz w:val="13"/>
        <w:szCs w:val="13"/>
      </w:rPr>
      <w:t xml:space="preserve"> of </w:t>
    </w:r>
    <w:r>
      <w:rPr>
        <w:color w:val="888888"/>
        <w:sz w:val="13"/>
        <w:szCs w:val="13"/>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20"/>
    </w:pPr>
    <w:r>
      <w:rPr>
        <w:b/>
        <w:bCs/>
        <w:color w:val="1B4F8A"/>
        <w:sz w:val="13"/>
        <w:szCs w:val="13"/>
      </w:rPr>
      <w:t xml:space="preserve">The Human-AI Partnership Framework</w:t>
    </w:r>
  </w:p>
  <w:p>
    <w:r>
      <w:rPr>
        <w:i/>
        <w:iCs/>
        <w:color w:val="888888"/>
        <w:sz w:val="13"/>
        <w:szCs w:val="13"/>
      </w:rPr>
      <w:t xml:space="preserve">PCF 9.5 — Time-to-Pay — RACI Assignment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2026-08-18T22:40:16.591Z</dcterms:created>
  <dcterms:modified xsi:type="dcterms:W3CDTF">2026-08-18T22:40:16.591Z</dcterms:modified>
</cp:coreProperties>
</file>

<file path=docProps/custom.xml><?xml version="1.0" encoding="utf-8"?>
<Properties xmlns="http://schemas.openxmlformats.org/officeDocument/2006/custom-properties" xmlns:vt="http://schemas.openxmlformats.org/officeDocument/2006/docPropsVTypes"/>
</file>