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Acquire-to-Retire</w:t>
      </w:r>
    </w:p>
    <w:p>
      <w:pPr>
        <w:spacing w:after="200"/>
      </w:pPr>
      <w:r>
        <w:rPr>
          <w:i/>
          <w:iCs/>
          <w:color w:val="888888"/>
          <w:sz w:val="17"/>
          <w:szCs w:val="17"/>
        </w:rPr>
        <w:t xml:space="preserve">PCF 9.4 — Capital planning &amp; fixed-asset project accounting — Value Stream Profile</w:t>
      </w:r>
    </w:p>
    <w:p>
      <w:pPr>
        <w:spacing w:after="120"/>
      </w:pPr>
      <w:r>
        <w:rPr>
          <w:color w:val="444444"/>
          <w:sz w:val="18"/>
          <w:szCs w:val="18"/>
        </w:rPr>
        <w:t xml:space="preserve">This value stream comprises one APQC PCF process group: 9.4 Manage Fixed-Asset Project Accounting — spanning 2 Level 3 processes and 9 Level 4 activities, the smallest value stream in PCF 9.0 by L3 count.</w:t>
      </w:r>
    </w:p>
    <w:p>
      <w:pPr>
        <w:spacing w:after="120"/>
      </w:pPr>
      <w:r>
        <w:rPr>
          <w:color w:val="444444"/>
          <w:sz w:val="18"/>
          <w:szCs w:val="18"/>
        </w:rPr>
        <w:t xml:space="preserve">At the activity level, this value stream's work breaks down as 4 Transaction activities, 2 Decision activities, 2 Knowledge activities, and 1 Document activity. No Exception-pattern activity exists within this value stream.</w:t>
      </w:r>
    </w:p>
    <w:p>
      <w:pPr>
        <w:spacing w:after="200"/>
      </w:pPr>
      <w:r>
        <w:rPr>
          <w:color w:val="444444"/>
          <w:sz w:val="18"/>
          <w:szCs w:val="18"/>
        </w:rPr>
        <w:t xml:space="preserve">At M3 (HITL Design Intent), the value stream's aggregate human-involvement ratio is 54%, down from a 75% undesigned baseline — a 21-point AI convergence opportunity, tied with Treasury &amp; Risk as the shallowest in PCF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75%</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54%</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-21%</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Capital project accounting cost ratio</w:t>
            </w:r>
          </w:p>
          <w:p>
            <w:r>
              <w:rPr>
                <w:i/>
                <w:iCs/>
                <w:color w:val="888888"/>
                <w:sz w:val="13"/>
                <w:szCs w:val="13"/>
              </w:rPr>
              <w:t xml:space="preserve">% of finance operating cost dedicated to fixed-asset and capital-project accounting</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Capital project ROI realization</w:t>
            </w:r>
          </w:p>
          <w:p>
            <w:r>
              <w:rPr>
                <w:i/>
                <w:iCs/>
                <w:color w:val="888888"/>
                <w:sz w:val="13"/>
                <w:szCs w:val="13"/>
              </w:rPr>
              <w:t xml:space="preserve">Actual post-completion return ÷ originally approved business-case projected return</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Asset capitalization cycle time</w:t>
            </w:r>
          </w:p>
          <w:p>
            <w:r>
              <w:rPr>
                <w:i/>
                <w:iCs/>
                <w:color w:val="888888"/>
                <w:sz w:val="13"/>
                <w:szCs w:val="13"/>
              </w:rPr>
              <w:t xml:space="preserve">Calendar days from project completion to formal capitalization in the fixed-asset ledger</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bl>
    <w:p>
      <w:pPr>
        <w:spacing w:after="40" w:before="260"/>
      </w:pPr>
      <w:r>
        <w:rPr>
          <w:b/>
          <w:bCs/>
          <w:color w:val="0D2D4F"/>
          <w:sz w:val="19"/>
          <w:szCs w:val="19"/>
        </w:rPr>
        <w:t xml:space="preserve">Design Narrative</w:t>
      </w:r>
    </w:p>
    <w:p>
      <w:pPr>
        <w:spacing w:after="160"/>
      </w:pPr>
      <w:r>
        <w:rPr>
          <w:color w:val="444444"/>
          <w:sz w:val="18"/>
          <w:szCs w:val="18"/>
        </w:rPr>
        <w:t xml:space="preserve">Acquire-to-Retire is PCF 9.0's smallest value stream by L3 count (2) and, at exactly 1-to-1, its most evenly split: Director of FP&amp;A holds Accountable for capital planning and project approval (9.4.1) — the stream's plan-side half — while Director of Accounting holds Accountable for capital project accounting (9.4.2) — the execute-and-capitalize half. Rather than force a single owner where none exists in the underlying RACI, this value stream is documented as a genuine two-step plan-then-execute handoff between FP&amp;A and Accounting, the same honest-gap treatment PCF 7.0 applied to its own partial-ownership cases (Payroll, Global Mobility). Director of FP&amp;A is named the nominal Value Stream Owner because the stream opens with its planning L3, consistent with how every other PCF 9.0 stream's owner is drawn from the L3 that starts the flow. Its steepest AI-absorption opportunity sits in 9.4.1.1 (Develop capital investment policies and procedures,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2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2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FP&amp;A</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9.4.1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4</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Accounting</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9.4.2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5</w:t>
            </w:r>
          </w:p>
        </w:tc>
      </w:tr>
    </w:tbl>
    <w:p>
      <w:pPr>
        <w:spacing w:after="40" w:before="260"/>
      </w:pPr>
      <w:r>
        <w:rPr>
          <w:b/>
          <w:bCs/>
          <w:color w:val="0D2D4F"/>
          <w:sz w:val="19"/>
          <w:szCs w:val="19"/>
        </w:rPr>
        <w:t xml:space="preserve">Handoff Points</w:t>
      </w:r>
    </w:p>
    <w:p>
      <w:pPr>
        <w:spacing w:after="120"/>
      </w:pPr>
      <w:r>
        <w:rPr>
          <w:color w:val="444444"/>
          <w:sz w:val="18"/>
          <w:szCs w:val="18"/>
        </w:rPr>
        <w:t xml:space="preserve">Acquire-to-Retire opens with Director of FP&amp;A-accountable capital planning — developing investment policy, building the capital plan, and approving individual projects (9.4.1).</w:t>
      </w:r>
    </w:p>
    <w:p>
      <w:pPr>
        <w:spacing w:after="120"/>
      </w:pPr>
      <w:r>
        <w:rPr>
          <w:color w:val="444444"/>
          <w:sz w:val="18"/>
          <w:szCs w:val="18"/>
        </w:rPr>
        <w:t xml:space="preserve">Once a project is approved, the stream hands off entirely to Director of Accounting for capital project accounting (9.4.2) — recording transactions, tracking spend against budget, and capitalizing the completed asset.</w:t>
      </w:r>
    </w:p>
    <w:p>
      <w:pPr>
        <w:spacing w:after="160"/>
      </w:pPr>
      <w:r>
        <w:rPr>
          <w:color w:val="444444"/>
          <w:sz w:val="18"/>
          <w:szCs w:val="18"/>
        </w:rPr>
        <w:t xml:space="preserve">This FP&amp;A-to-Accounting handoff is the stream's only transition point, and it is a genuine ownership boundary rather than a data pass-through: FP&amp;A's authority ends at project approval, and Accounting's begins at project execution.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9.4.1.2</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Develop and approve capital expenditure plans and budgets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Director of FP&amp;A</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Financial — commits multi-year capital budget allocation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Capital plan exceeds Director of FP&amp;A's standing authorization or spans more than one fiscal year</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9.4.1.3</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Review and approve capital projects and fixed-asset acquisitions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Director of FP&amp;A</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Financial — authorizes individual capital-project spend</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Project cost exceeds the standing capital-approval threshold or falls outside the approved capital plan</w:t>
            </w:r>
          </w:p>
        </w:tc>
      </w:tr>
    </w:tbl>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9.4 — Acquire-to-Retire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2026-08-18T22:40:16.408Z</dcterms:created>
  <dcterms:modified xsi:type="dcterms:W3CDTF">2026-08-18T22:40:16.408Z</dcterms:modified>
</cp:coreProperties>
</file>

<file path=docProps/custom.xml><?xml version="1.0" encoding="utf-8"?>
<Properties xmlns="http://schemas.openxmlformats.org/officeDocument/2006/custom-properties" xmlns:vt="http://schemas.openxmlformats.org/officeDocument/2006/docPropsVTypes"/>
</file>