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4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D4F" w:val="clear"/>
            <w:tcMar>
              <w:top w:type="dxa" w:w="220"/>
              <w:left w:type="dxa" w:w="200"/>
              <w:bottom w:type="dxa" w:w="20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The Human-AI Partnership Framework</w:t>
            </w:r>
          </w:p>
          <w:p>
            <w:pPr>
              <w:jc w:val="center"/>
            </w:pPr>
            <w:r>
              <w:rPr>
                <w:i/>
                <w:iCs/>
                <w:color w:val="9FC2EE"/>
                <w:sz w:val="16"/>
                <w:szCs w:val="16"/>
              </w:rPr>
              <w:t xml:space="preserve">Where human judgment belongs</w:t>
            </w:r>
          </w:p>
        </w:tc>
      </w:tr>
    </w:tbl>
    <w:p>
      <w:pPr>
        <w:spacing w:after="40" w:before="220"/>
      </w:pPr>
      <w:r>
        <w:rPr>
          <w:rFonts w:ascii="Georgia" w:cs="Georgia" w:eastAsia="Georgia" w:hAnsi="Georgia"/>
          <w:b/>
          <w:bCs/>
          <w:color w:val="0D2D4F"/>
          <w:sz w:val="30"/>
          <w:szCs w:val="30"/>
        </w:rPr>
        <w:t xml:space="preserve">Procure-to-Pay</w:t>
      </w:r>
    </w:p>
    <w:p>
      <w:pPr>
        <w:spacing w:after="200"/>
      </w:pPr>
      <w:r>
        <w:rPr>
          <w:i/>
          <w:iCs/>
          <w:color w:val="888888"/>
          <w:sz w:val="17"/>
          <w:szCs w:val="17"/>
        </w:rPr>
        <w:t xml:space="preserve">PCF 9.6 — AP, expense reimbursements &amp; corporate cards — Value Stream Profile</w:t>
      </w:r>
    </w:p>
    <w:p>
      <w:pPr>
        <w:spacing w:after="120"/>
      </w:pPr>
      <w:r>
        <w:rPr>
          <w:color w:val="444444"/>
          <w:sz w:val="18"/>
          <w:szCs w:val="18"/>
        </w:rPr>
        <w:t xml:space="preserve">This value stream comprises one APQC PCF process group: 9.6 Process Accounts Payable and Expense Reimbursements — spanning 3 Level 3 processes and 22 Level 4 activities.</w:t>
      </w:r>
    </w:p>
    <w:p>
      <w:pPr>
        <w:spacing w:after="120"/>
      </w:pPr>
      <w:r>
        <w:rPr>
          <w:color w:val="444444"/>
          <w:sz w:val="18"/>
          <w:szCs w:val="18"/>
        </w:rPr>
        <w:t xml:space="preserve">At the activity level, this value stream's work breaks down as 16 Transaction activities — the highest concentration of any PCF 9.0 value stream — 3 Decision activities, 2 Document activities, and 1 Exception activity.</w:t>
      </w:r>
    </w:p>
    <w:p>
      <w:pPr>
        <w:spacing w:after="200"/>
      </w:pPr>
      <w:r>
        <w:rPr>
          <w:color w:val="444444"/>
          <w:sz w:val="18"/>
          <w:szCs w:val="18"/>
        </w:rPr>
        <w:t xml:space="preserve">At M3 (HITL Design Intent), the value stream's aggregate human-involvement ratio is 44%, down from a 67% undesigned baseline — a 23-point AI convergence opportunity.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8"/>
        <w:gridCol w:w="2008"/>
        <w:gridCol w:w="2008"/>
        <w:gridCol w:w="2008"/>
        <w:gridCol w:w="2008"/>
      </w:tblGrid>
      <w:tr>
        <w:tc>
          <w:tcPr>
            <w:tcW w:type="pct" w:w="20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2"/>
                <w:szCs w:val="12"/>
              </w:rPr>
              <w:t xml:space="preserve">L3 PROCESSES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3</w:t>
            </w:r>
          </w:p>
        </w:tc>
        <w:tc>
          <w:tcPr>
            <w:tcW w:type="pct" w:w="20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2"/>
                <w:szCs w:val="12"/>
              </w:rPr>
              <w:t xml:space="preserve">L4 ACTIVITIES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22</w:t>
            </w:r>
          </w:p>
        </w:tc>
        <w:tc>
          <w:tcPr>
            <w:tcW w:type="pct" w:w="20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2"/>
                <w:szCs w:val="12"/>
              </w:rPr>
              <w:t xml:space="preserve">M1 BASELINE H%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67%</w:t>
            </w:r>
          </w:p>
        </w:tc>
        <w:tc>
          <w:tcPr>
            <w:tcW w:type="pct" w:w="20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2"/>
                <w:szCs w:val="12"/>
              </w:rPr>
              <w:t xml:space="preserve">M3 DESIGN INTENT H%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44%</w:t>
            </w:r>
          </w:p>
        </w:tc>
        <w:tc>
          <w:tcPr>
            <w:tcW w:type="pct" w:w="20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2"/>
                <w:szCs w:val="12"/>
              </w:rPr>
              <w:t xml:space="preserve">Δ M1 → M3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-23%</w:t>
            </w:r>
          </w:p>
        </w:tc>
      </w:tr>
    </w:tbl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KPIs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30"/>
        <w:gridCol w:w="2510"/>
      </w:tblGrid>
      <w:tr>
        <w:trPr>
          <w:tblHeader/>
        </w:trPr>
        <w:tc>
          <w:tcPr>
            <w:tcW w:type="pct" w:w="75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Business Impact Metric &amp; Formula (where confirmed)</w:t>
            </w:r>
          </w:p>
        </w:tc>
        <w:tc>
          <w:tcPr>
            <w:tcW w:type="pct" w:w="25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Source</w:t>
            </w:r>
          </w:p>
        </w:tc>
      </w:tr>
      <w:tr>
        <w:tc>
          <w:tcPr>
            <w:tcW w:type="pct" w:w="7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444444"/>
                <w:sz w:val="15"/>
                <w:szCs w:val="15"/>
              </w:rPr>
              <w:t xml:space="preserve">Cost per invoice processed</w:t>
            </w:r>
          </w:p>
          <w:p>
            <w:r>
              <w:rPr>
                <w:i/>
                <w:iCs/>
                <w:color w:val="888888"/>
                <w:sz w:val="13"/>
                <w:szCs w:val="13"/>
              </w:rPr>
              <w:t xml:space="preserve">Total AP operating cost ÷ number of invoices processed per period</w:t>
            </w:r>
          </w:p>
        </w:tc>
        <w:tc>
          <w:tcPr>
            <w:tcW w:type="pct" w:w="2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888888"/>
                <w:sz w:val="14"/>
                <w:szCs w:val="14"/>
              </w:rPr>
              <w:t xml:space="preserve">APQC OSB</w:t>
            </w:r>
          </w:p>
        </w:tc>
      </w:tr>
      <w:tr>
        <w:tc>
          <w:tcPr>
            <w:tcW w:type="pct" w:w="7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444444"/>
                <w:sz w:val="15"/>
                <w:szCs w:val="15"/>
              </w:rPr>
              <w:t xml:space="preserve">Touchless invoice rate</w:t>
            </w:r>
          </w:p>
          <w:p>
            <w:r>
              <w:rPr>
                <w:i/>
                <w:iCs/>
                <w:color w:val="888888"/>
                <w:sz w:val="13"/>
                <w:szCs w:val="13"/>
              </w:rPr>
              <w:t xml:space="preserve">% of invoices processed with no manual intervention from receipt to payment</w:t>
            </w:r>
          </w:p>
        </w:tc>
        <w:tc>
          <w:tcPr>
            <w:tcW w:type="pct" w:w="2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888888"/>
                <w:sz w:val="14"/>
                <w:szCs w:val="14"/>
              </w:rPr>
              <w:t xml:space="preserve">The Hackett Group</w:t>
            </w:r>
          </w:p>
        </w:tc>
      </w:tr>
      <w:tr>
        <w:tc>
          <w:tcPr>
            <w:tcW w:type="pct" w:w="7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444444"/>
                <w:sz w:val="15"/>
                <w:szCs w:val="15"/>
              </w:rPr>
              <w:t xml:space="preserve">Days Payable Outstanding (DPO)</w:t>
            </w:r>
          </w:p>
          <w:p>
            <w:r>
              <w:rPr>
                <w:i/>
                <w:iCs/>
                <w:color w:val="888888"/>
                <w:sz w:val="13"/>
                <w:szCs w:val="13"/>
              </w:rPr>
              <w:t xml:space="preserve">(Accounts Payable ÷ Cost of Goods Sold) × Number of Days in Period</w:t>
            </w:r>
          </w:p>
        </w:tc>
        <w:tc>
          <w:tcPr>
            <w:tcW w:type="pct" w:w="2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888888"/>
                <w:sz w:val="14"/>
                <w:szCs w:val="14"/>
              </w:rPr>
              <w:t xml:space="preserve">APQC OSB</w:t>
            </w:r>
          </w:p>
        </w:tc>
      </w:tr>
      <w:tr>
        <w:tc>
          <w:tcPr>
            <w:tcW w:type="pct" w:w="7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444444"/>
                <w:sz w:val="15"/>
                <w:szCs w:val="15"/>
              </w:rPr>
              <w:t xml:space="preserve">Expense report cycle time</w:t>
            </w:r>
          </w:p>
          <w:p>
            <w:r>
              <w:rPr>
                <w:i/>
                <w:iCs/>
                <w:color w:val="888888"/>
                <w:sz w:val="13"/>
                <w:szCs w:val="13"/>
              </w:rPr>
              <w:t xml:space="preserve">Average calendar days from expense report submission to reimbursement</w:t>
            </w:r>
          </w:p>
        </w:tc>
        <w:tc>
          <w:tcPr>
            <w:tcW w:type="pct" w:w="2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888888"/>
                <w:sz w:val="14"/>
                <w:szCs w:val="14"/>
              </w:rPr>
              <w:t xml:space="preserve">APQC OSB</w:t>
            </w:r>
          </w:p>
        </w:tc>
      </w:tr>
    </w:tbl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Design Narrative</w:t>
      </w:r>
    </w:p>
    <w:p>
      <w:pPr>
        <w:spacing w:after="160"/>
      </w:pPr>
      <w:r>
        <w:rPr>
          <w:color w:val="444444"/>
          <w:sz w:val="18"/>
          <w:szCs w:val="18"/>
        </w:rPr>
        <w:t xml:space="preserve">Procure-to-Pay follows the same 2-of-3 pattern as Time-to-Pay: Director of Accounting holds Accountable for accounts payable (9.6.1) and expense reimbursements (9.6.2), while Treasury Manager owns the stream's third L3, corporate credit card management (9.6.3) — a natural Treasury carve-out since card programs are banking-relationship products even when the resulting spend flows through Accounting's payable process. This value stream carries the domain's highest concentration of Transaction-pattern activity (16 of 22 activities), reflecting how much of accounts-payable work is rules-based processing once a vendor invoice or expense claim is submitted, and it also carries one of PCF 9.0's four Exception-pattern activities (9.6.1.7, Research/Resolve payable exceptions). Its steepest AI-absorption opportunity sits in 9.6.2.1 (Establish and communicate expense reimbursement policies and approval limits, Document-pattern, -32 points).</w:t>
      </w:r>
    </w:p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AI Capability Map</w:t>
      </w:r>
    </w:p>
    <w:p>
      <w:pPr>
        <w:spacing w:after="120"/>
      </w:pPr>
      <w:r>
        <w:rPr>
          <w:color w:val="888888"/>
          <w:sz w:val="14"/>
          <w:szCs w:val="14"/>
        </w:rPr>
        <w:t xml:space="preserve">Pattern-type distribution across this value stream's activity units. H% figures are the pattern type's standard value at each maturity level, applied consistently across all PCF domains.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00"/>
        <w:gridCol w:w="1928"/>
        <w:gridCol w:w="100"/>
        <w:gridCol w:w="1928"/>
        <w:gridCol w:w="100"/>
        <w:gridCol w:w="1928"/>
        <w:gridCol w:w="100"/>
        <w:gridCol w:w="1928"/>
      </w:tblGrid>
      <w:tr>
        <w:tc>
          <w:tcPr>
            <w:tcW w:type="pct" w:w="19.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A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b/>
                <w:bCs/>
                <w:color w:val="1B4F8A"/>
                <w:sz w:val="15"/>
                <w:szCs w:val="15"/>
              </w:rPr>
              <w:t xml:space="preserve">Decision</w:t>
            </w:r>
          </w:p>
          <w:p>
            <w:pPr>
              <w:spacing w:before="30"/>
            </w:pPr>
            <w:r>
              <w:rPr>
                <w:i/>
                <w:iCs/>
                <w:color w:val="1B4F8A"/>
                <w:sz w:val="10"/>
                <w:szCs w:val="10"/>
              </w:rPr>
              <w:t xml:space="preserve">Judgment &amp; Authority — gates that stay human by design</w:t>
            </w:r>
          </w:p>
          <w:p>
            <w:pPr>
              <w:spacing w:before="60"/>
            </w:pPr>
            <w:r>
              <w:rPr>
                <w:b/>
                <w:bCs/>
                <w:color w:val="1B4F8A"/>
                <w:sz w:val="15"/>
                <w:szCs w:val="15"/>
              </w:rPr>
              <w:t xml:space="preserve">3 L4 activities</w:t>
            </w:r>
          </w:p>
          <w:p>
            <w:pPr>
              <w:spacing w:before="40"/>
            </w:pPr>
            <w:r>
              <w:rPr>
                <w:color w:val="1B4F8A"/>
                <w:sz w:val="12"/>
                <w:szCs w:val="12"/>
              </w:rPr>
              <w:t xml:space="preserve">M1 92%  →  M3 80%</w:t>
            </w:r>
          </w:p>
        </w:tc>
        <w:tc>
          <w:tcPr>
            <w:tcW w:type="pct" w:w="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pct" w:w="19.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0FE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b/>
                <w:bCs/>
                <w:color w:val="534AB7"/>
                <w:sz w:val="15"/>
                <w:szCs w:val="15"/>
              </w:rPr>
              <w:t xml:space="preserve">Knowledge</w:t>
            </w:r>
          </w:p>
          <w:p>
            <w:pPr>
              <w:spacing w:before="30"/>
            </w:pPr>
            <w:r>
              <w:rPr>
                <w:i/>
                <w:iCs/>
                <w:color w:val="534AB7"/>
                <w:sz w:val="10"/>
                <w:szCs w:val="10"/>
              </w:rPr>
              <w:t xml:space="preserve">Synthesis &amp; Interpretation — judgment-driven work</w:t>
            </w:r>
          </w:p>
          <w:p>
            <w:pPr>
              <w:spacing w:before="60"/>
            </w:pPr>
            <w:r>
              <w:rPr>
                <w:b/>
                <w:bCs/>
                <w:color w:val="534AB7"/>
                <w:sz w:val="15"/>
                <w:szCs w:val="15"/>
              </w:rPr>
              <w:t xml:space="preserve">0 L4 activities</w:t>
            </w:r>
          </w:p>
          <w:p>
            <w:pPr>
              <w:spacing w:before="40"/>
            </w:pPr>
            <w:r>
              <w:rPr>
                <w:i/>
                <w:iCs/>
                <w:color w:val="534AB7"/>
                <w:sz w:val="11"/>
                <w:szCs w:val="11"/>
              </w:rPr>
              <w:t xml:space="preserve">No activities of this pattern in this value stream</w:t>
            </w:r>
          </w:p>
        </w:tc>
        <w:tc>
          <w:tcPr>
            <w:tcW w:type="pct" w:w="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pct" w:w="19.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E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b/>
                <w:bCs/>
                <w:color w:val="0369A1"/>
                <w:sz w:val="15"/>
                <w:szCs w:val="15"/>
              </w:rPr>
              <w:t xml:space="preserve">Document</w:t>
            </w:r>
          </w:p>
          <w:p>
            <w:pPr>
              <w:spacing w:before="30"/>
            </w:pPr>
            <w:r>
              <w:rPr>
                <w:i/>
                <w:iCs/>
                <w:color w:val="0369A1"/>
                <w:sz w:val="10"/>
                <w:szCs w:val="10"/>
              </w:rPr>
              <w:t xml:space="preserve">Content Generation — drafting and communication</w:t>
            </w:r>
          </w:p>
          <w:p>
            <w:pPr>
              <w:spacing w:before="60"/>
            </w:pPr>
            <w:r>
              <w:rPr>
                <w:b/>
                <w:bCs/>
                <w:color w:val="0369A1"/>
                <w:sz w:val="15"/>
                <w:szCs w:val="15"/>
              </w:rPr>
              <w:t xml:space="preserve">2 L4 activities</w:t>
            </w:r>
          </w:p>
          <w:p>
            <w:pPr>
              <w:spacing w:before="40"/>
            </w:pPr>
            <w:r>
              <w:rPr>
                <w:color w:val="0369A1"/>
                <w:sz w:val="12"/>
                <w:szCs w:val="12"/>
              </w:rPr>
              <w:t xml:space="preserve">M1 72%  →  M3 40%</w:t>
            </w:r>
          </w:p>
        </w:tc>
        <w:tc>
          <w:tcPr>
            <w:tcW w:type="pct" w:w="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pct" w:w="19.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b/>
                <w:bCs/>
                <w:color w:val="166534"/>
                <w:sz w:val="15"/>
                <w:szCs w:val="15"/>
              </w:rPr>
              <w:t xml:space="preserve">Transaction</w:t>
            </w:r>
          </w:p>
          <w:p>
            <w:pPr>
              <w:spacing w:before="30"/>
            </w:pPr>
            <w:r>
              <w:rPr>
                <w:i/>
                <w:iCs/>
                <w:color w:val="166534"/>
                <w:sz w:val="10"/>
                <w:szCs w:val="10"/>
              </w:rPr>
              <w:t xml:space="preserve">Rules-Based Processing — suited to automation</w:t>
            </w:r>
          </w:p>
          <w:p>
            <w:pPr>
              <w:spacing w:before="60"/>
            </w:pPr>
            <w:r>
              <w:rPr>
                <w:b/>
                <w:bCs/>
                <w:color w:val="166534"/>
                <w:sz w:val="15"/>
                <w:szCs w:val="15"/>
              </w:rPr>
              <w:t xml:space="preserve">16 L4 activities</w:t>
            </w:r>
          </w:p>
          <w:p>
            <w:pPr>
              <w:spacing w:before="40"/>
            </w:pPr>
            <w:r>
              <w:rPr>
                <w:color w:val="166534"/>
                <w:sz w:val="12"/>
                <w:szCs w:val="12"/>
              </w:rPr>
              <w:t xml:space="preserve">M1 60%  →  M3 35%</w:t>
            </w:r>
          </w:p>
        </w:tc>
        <w:tc>
          <w:tcPr>
            <w:tcW w:type="pct" w:w="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pct" w:w="19.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b/>
                <w:bCs/>
                <w:color w:val="991B1B"/>
                <w:sz w:val="15"/>
                <w:szCs w:val="15"/>
              </w:rPr>
              <w:t xml:space="preserve">Exception</w:t>
            </w:r>
          </w:p>
          <w:p>
            <w:pPr>
              <w:spacing w:before="30"/>
            </w:pPr>
            <w:r>
              <w:rPr>
                <w:i/>
                <w:iCs/>
                <w:color w:val="991B1B"/>
                <w:sz w:val="10"/>
                <w:szCs w:val="10"/>
              </w:rPr>
              <w:t xml:space="preserve">Non-Standard Resolution — human-resolved by nature</w:t>
            </w:r>
          </w:p>
          <w:p>
            <w:pPr>
              <w:spacing w:before="60"/>
            </w:pPr>
            <w:r>
              <w:rPr>
                <w:b/>
                <w:bCs/>
                <w:color w:val="991B1B"/>
                <w:sz w:val="15"/>
                <w:szCs w:val="15"/>
              </w:rPr>
              <w:t xml:space="preserve">1 L4 activities</w:t>
            </w:r>
          </w:p>
          <w:p>
            <w:pPr>
              <w:spacing w:before="40"/>
            </w:pPr>
            <w:r>
              <w:rPr>
                <w:color w:val="991B1B"/>
                <w:sz w:val="12"/>
                <w:szCs w:val="12"/>
              </w:rPr>
              <w:t xml:space="preserve">M1 95%  →  M3 82%</w:t>
            </w:r>
          </w:p>
        </w:tc>
      </w:tr>
    </w:tbl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Process Accountability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600"/>
        <w:gridCol w:w="3540"/>
        <w:gridCol w:w="2000"/>
      </w:tblGrid>
      <w:tr>
        <w:trPr>
          <w:tblHeader/>
        </w:trPr>
        <w:tc>
          <w:tcPr>
            <w:tcW w:type="pct" w:w="28.88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Process Accountability</w:t>
            </w:r>
          </w:p>
        </w:tc>
        <w:tc>
          <w:tcPr>
            <w:tcW w:type="pct" w:w="15.94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Tier</w:t>
            </w:r>
          </w:p>
        </w:tc>
        <w:tc>
          <w:tcPr>
            <w:tcW w:type="pct" w:w="35.26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L3 Processes</w:t>
            </w:r>
          </w:p>
        </w:tc>
        <w:tc>
          <w:tcPr>
            <w:tcW w:type="pct" w:w="19.92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L4 Activities</w:t>
            </w:r>
          </w:p>
        </w:tc>
      </w:tr>
      <w:tr>
        <w:tc>
          <w:tcPr>
            <w:tcW w:type="pct" w:w="28.88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5"/>
                <w:szCs w:val="15"/>
              </w:rPr>
              <w:t xml:space="preserve">Director of Accounting</w:t>
            </w:r>
          </w:p>
        </w:tc>
        <w:tc>
          <w:tcPr>
            <w:tcW w:type="pct" w:w="15.9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1B4F8A"/>
                <w:sz w:val="12"/>
                <w:szCs w:val="12"/>
              </w:rPr>
              <w:t xml:space="preserve">Managerial</w:t>
            </w:r>
          </w:p>
        </w:tc>
        <w:tc>
          <w:tcPr>
            <w:tcW w:type="pct" w:w="35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666666"/>
                <w:sz w:val="13"/>
                <w:szCs w:val="13"/>
              </w:rPr>
              <w:t xml:space="preserve">9.6.1, 9.6.2</w:t>
            </w:r>
          </w:p>
        </w:tc>
        <w:tc>
          <w:tcPr>
            <w:tcW w:type="pct" w:w="19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color w:val="444444"/>
                <w:sz w:val="15"/>
                <w:szCs w:val="15"/>
              </w:rPr>
              <w:t xml:space="preserve">16</w:t>
            </w:r>
          </w:p>
        </w:tc>
      </w:tr>
      <w:tr>
        <w:tc>
          <w:tcPr>
            <w:tcW w:type="pct" w:w="28.88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5"/>
                <w:szCs w:val="15"/>
              </w:rPr>
              <w:t xml:space="preserve">Treasury Manager</w:t>
            </w:r>
          </w:p>
        </w:tc>
        <w:tc>
          <w:tcPr>
            <w:tcW w:type="pct" w:w="15.9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1B4F8A"/>
                <w:sz w:val="12"/>
                <w:szCs w:val="12"/>
              </w:rPr>
              <w:t xml:space="preserve">Managerial</w:t>
            </w:r>
          </w:p>
        </w:tc>
        <w:tc>
          <w:tcPr>
            <w:tcW w:type="pct" w:w="35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666666"/>
                <w:sz w:val="13"/>
                <w:szCs w:val="13"/>
              </w:rPr>
              <w:t xml:space="preserve">9.6.3</w:t>
            </w:r>
          </w:p>
        </w:tc>
        <w:tc>
          <w:tcPr>
            <w:tcW w:type="pct" w:w="19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color w:val="444444"/>
                <w:sz w:val="15"/>
                <w:szCs w:val="15"/>
              </w:rPr>
              <w:t xml:space="preserve">6</w:t>
            </w:r>
          </w:p>
        </w:tc>
      </w:tr>
    </w:tbl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Handoff Points</w:t>
      </w:r>
    </w:p>
    <w:p>
      <w:pPr>
        <w:spacing w:after="120"/>
      </w:pPr>
      <w:r>
        <w:rPr>
          <w:color w:val="444444"/>
          <w:sz w:val="18"/>
          <w:szCs w:val="18"/>
        </w:rPr>
        <w:t xml:space="preserve">Procure-to-Pay opens with Director of Accounting-accountable accounts payable (9.6.1) — matching, auditing, and approving vendor invoices for payment.</w:t>
      </w:r>
    </w:p>
    <w:p>
      <w:pPr>
        <w:spacing w:after="120"/>
      </w:pPr>
      <w:r>
        <w:rPr>
          <w:color w:val="444444"/>
          <w:sz w:val="18"/>
          <w:szCs w:val="18"/>
        </w:rPr>
        <w:t xml:space="preserve">Expense reimbursements (9.6.2) run as a parallel Director of Accounting-owned lane for employee-submitted claims rather than vendor invoices, closing with the same approve-and-pay pattern.</w:t>
      </w:r>
    </w:p>
    <w:p>
      <w:pPr>
        <w:spacing w:after="160"/>
      </w:pPr>
      <w:r>
        <w:rPr>
          <w:color w:val="444444"/>
          <w:sz w:val="18"/>
          <w:szCs w:val="18"/>
        </w:rPr>
        <w:t xml:space="preserve">Corporate credit card management (9.6.3) hands to Treasury Manager, who owns card issuance and limit management even though resulting transactions still settle through Director of Accounting's payable process.</w:t>
      </w:r>
    </w:p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Governed Decision Points</w:t>
      </w:r>
    </w:p>
    <w:p>
      <w:pPr>
        <w:spacing w:after="100"/>
      </w:pPr>
      <w:r>
        <w:rPr>
          <w:color w:val="888888"/>
          <w:sz w:val="14"/>
          <w:szCs w:val="14"/>
        </w:rPr>
        <w:t xml:space="preserve">Every Decision/Exception-pattern activity in the value stream, including those embedded inside Mixed-labeled steps.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1900"/>
        <w:gridCol w:w="1400"/>
        <w:gridCol w:w="1900"/>
        <w:gridCol w:w="1460"/>
        <w:gridCol w:w="2600"/>
      </w:tblGrid>
      <w:tr>
        <w:trPr>
          <w:tblHeader/>
        </w:trPr>
        <w:tc>
          <w:tcPr>
            <w:tcW w:type="pct" w:w="7.77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PCF</w:t>
            </w:r>
          </w:p>
        </w:tc>
        <w:tc>
          <w:tcPr>
            <w:tcW w:type="pct" w:w="18.92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Decision</w:t>
            </w:r>
          </w:p>
        </w:tc>
        <w:tc>
          <w:tcPr>
            <w:tcW w:type="pct" w:w="13.94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Authority</w:t>
            </w:r>
          </w:p>
        </w:tc>
        <w:tc>
          <w:tcPr>
            <w:tcW w:type="pct" w:w="18.92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Impact</w:t>
            </w:r>
          </w:p>
        </w:tc>
        <w:tc>
          <w:tcPr>
            <w:tcW w:type="pct" w:w="14.54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Escalates To</w:t>
            </w:r>
          </w:p>
        </w:tc>
        <w:tc>
          <w:tcPr>
            <w:tcW w:type="pct" w:w="25.9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Trigger</w:t>
            </w:r>
          </w:p>
        </w:tc>
      </w:tr>
      <w:tr>
        <w:tc>
          <w:tcPr>
            <w:tcW w:type="pct" w:w="7.77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000000"/>
                <w:sz w:val="13"/>
                <w:szCs w:val="13"/>
              </w:rPr>
              <w:t xml:space="preserve">9.6.1.4</w:t>
            </w:r>
          </w:p>
        </w:tc>
        <w:tc>
          <w:tcPr>
            <w:tcW w:type="pct" w:w="18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Approve payments</w:t>
            </w:r>
          </w:p>
        </w:tc>
        <w:tc>
          <w:tcPr>
            <w:tcW w:type="pct" w:w="13.9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Director of Accounting</w:t>
            </w:r>
          </w:p>
        </w:tc>
        <w:tc>
          <w:tcPr>
            <w:tcW w:type="pct" w:w="18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Financial — releases company funds to a vendor</w:t>
            </w:r>
          </w:p>
        </w:tc>
        <w:tc>
          <w:tcPr>
            <w:tcW w:type="pct" w:w="14.5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VP Controller (Executive)</w:t>
            </w:r>
          </w:p>
        </w:tc>
        <w:tc>
          <w:tcPr>
            <w:tcW w:type="pct" w:w="25.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Payment amount exceeds Director of Accounting's standing approval limit or the vendor lacks an approved master-file record</w:t>
            </w:r>
          </w:p>
        </w:tc>
      </w:tr>
      <w:tr>
        <w:tc>
          <w:tcPr>
            <w:tcW w:type="pct" w:w="7.77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000000"/>
                <w:sz w:val="13"/>
                <w:szCs w:val="13"/>
              </w:rPr>
              <w:t xml:space="preserve">9.6.1.7</w:t>
            </w:r>
          </w:p>
        </w:tc>
        <w:tc>
          <w:tcPr>
            <w:tcW w:type="pct" w:w="18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Research/Resolve payable exceptions</w:t>
            </w:r>
          </w:p>
        </w:tc>
        <w:tc>
          <w:tcPr>
            <w:tcW w:type="pct" w:w="13.9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Director of Accounting</w:t>
            </w:r>
          </w:p>
        </w:tc>
        <w:tc>
          <w:tcPr>
            <w:tcW w:type="pct" w:w="18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Financial — resolves a discrepancy blocking vendor payment</w:t>
            </w:r>
          </w:p>
        </w:tc>
        <w:tc>
          <w:tcPr>
            <w:tcW w:type="pct" w:w="14.5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VP Controller (Executive)</w:t>
            </w:r>
          </w:p>
        </w:tc>
        <w:tc>
          <w:tcPr>
            <w:tcW w:type="pct" w:w="25.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Exception involves a disputed amount above policy threshold or a suspected duplicate/fraudulent invoice</w:t>
            </w:r>
          </w:p>
        </w:tc>
      </w:tr>
      <w:tr>
        <w:tc>
          <w:tcPr>
            <w:tcW w:type="pct" w:w="7.77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000000"/>
                <w:sz w:val="13"/>
                <w:szCs w:val="13"/>
              </w:rPr>
              <w:t xml:space="preserve">9.6.3.5</w:t>
            </w:r>
          </w:p>
        </w:tc>
        <w:tc>
          <w:tcPr>
            <w:tcW w:type="pct" w:w="18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Approve/Change credit limits</w:t>
            </w:r>
          </w:p>
        </w:tc>
        <w:tc>
          <w:tcPr>
            <w:tcW w:type="pct" w:w="13.9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Treasury Manager</w:t>
            </w:r>
          </w:p>
        </w:tc>
        <w:tc>
          <w:tcPr>
            <w:tcW w:type="pct" w:w="18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Financial — expands corporate card spending exposure</w:t>
            </w:r>
          </w:p>
        </w:tc>
        <w:tc>
          <w:tcPr>
            <w:tcW w:type="pct" w:w="14.5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VP Treasury (Executive)</w:t>
            </w:r>
          </w:p>
        </w:tc>
        <w:tc>
          <w:tcPr>
            <w:tcW w:type="pct" w:w="25.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Requested limit increase exceeds Treasury Manager's standing authorization or the cardholder is outside standard risk profile</w:t>
            </w:r>
          </w:p>
        </w:tc>
      </w:tr>
    </w:tbl>
    <w:p>
      <w:pPr>
        <w:spacing w:before="260"/>
      </w:pPr>
      <w:r>
        <w:rPr>
          <w:i/>
          <w:iCs/>
          <w:color w:val="888888"/>
          <w:sz w:val="13"/>
          <w:szCs w:val="13"/>
        </w:rPr>
        <w:t xml:space="preserve">© Timothy P. King &amp; Claude (Anthropic) 2026</w:t>
      </w:r>
    </w:p>
    <w:sectPr>
      <w:headerReference w:type="default" r:id="rId7"/>
      <w:footerReference w:type="default" r:id="rId8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3"/>
        <w:szCs w:val="13"/>
      </w:rPr>
      <w:t xml:space="preserve">Page </w:t>
    </w:r>
    <w:r>
      <w:rPr>
        <w:color w:val="888888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3"/>
        <w:szCs w:val="13"/>
      </w:rPr>
      <w:t xml:space="preserve"> of </w:t>
    </w:r>
    <w:r>
      <w:rPr>
        <w:color w:val="888888"/>
        <w:sz w:val="13"/>
        <w:szCs w:val="13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"/>
    </w:pPr>
    <w:r>
      <w:rPr>
        <w:b/>
        <w:bCs/>
        <w:color w:val="1B4F8A"/>
        <w:sz w:val="13"/>
        <w:szCs w:val="13"/>
      </w:rPr>
      <w:t xml:space="preserve">The Human-AI Partnership Framework</w:t>
    </w:r>
  </w:p>
  <w:p>
    <w:r>
      <w:rPr>
        <w:i/>
        <w:iCs/>
        <w:color w:val="888888"/>
        <w:sz w:val="13"/>
        <w:szCs w:val="13"/>
      </w:rPr>
      <w:t xml:space="preserve">PCF 9.6 — Procure-to-Pay — Value Stream Profile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2026-08-18T22:40:17.180Z</dcterms:created>
  <dcterms:modified xsi:type="dcterms:W3CDTF">2026-08-18T22:40:17.180Z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