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Tax Strategy-to-Compliance</w:t>
      </w:r>
    </w:p>
    <w:p>
      <w:pPr>
        <w:spacing w:after="200"/>
      </w:pPr>
      <w:r>
        <w:rPr>
          <w:i/>
          <w:iCs/>
          <w:color w:val="888888"/>
          <w:sz w:val="17"/>
          <w:szCs w:val="17"/>
        </w:rPr>
        <w:t xml:space="preserve">PCF 9.9 — Tax planning &amp; processing — Value Stream Profile</w:t>
      </w:r>
    </w:p>
    <w:p>
      <w:pPr>
        <w:spacing w:after="120"/>
      </w:pPr>
      <w:r>
        <w:rPr>
          <w:color w:val="444444"/>
          <w:sz w:val="18"/>
          <w:szCs w:val="18"/>
        </w:rPr>
        <w:t xml:space="preserve">This value stream comprises one APQC PCF process group: 9.9 Manage Taxes — spanning 2 Level 3 processes and 10 Level 4 activities, PCF 9.0's second-smallest value stream by L3 count.</w:t>
      </w:r>
    </w:p>
    <w:p>
      <w:pPr>
        <w:spacing w:after="120"/>
      </w:pPr>
      <w:r>
        <w:rPr>
          <w:color w:val="444444"/>
          <w:sz w:val="18"/>
          <w:szCs w:val="18"/>
        </w:rPr>
        <w:t xml:space="preserve">At the activity level, this value stream's work breaks down as 7 Transaction activities and 3 Knowledge activities. No Document-, Decision-, or Exception-pattern activity exists within this value stream — the narrowest pattern spread in PCF 9.0.</w:t>
      </w:r>
    </w:p>
    <w:p>
      <w:pPr>
        <w:spacing w:after="200"/>
      </w:pPr>
      <w:r>
        <w:rPr>
          <w:color w:val="444444"/>
          <w:sz w:val="18"/>
          <w:szCs w:val="18"/>
        </w:rPr>
        <w:t xml:space="preserve">At M3 (HITL Design Intent), the value stream's aggregate human-involvement ratio is 47%, down from a 71% undesigned baseline — a 24-point AI convergence opportunity.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8"/>
        <w:gridCol w:w="2008"/>
        <w:gridCol w:w="2008"/>
        <w:gridCol w:w="2008"/>
        <w:gridCol w:w="2008"/>
      </w:tblGrid>
      <w:tr>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L3 PROCESSES</w:t>
            </w:r>
          </w:p>
          <w:p>
            <w:r>
              <w:rPr>
                <w:b/>
                <w:bCs/>
                <w:color w:val="1B4F8A"/>
                <w:sz w:val="22"/>
                <w:szCs w:val="22"/>
              </w:rPr>
              <w:t xml:space="preserve">2</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L4 ACTIVITIES</w:t>
            </w:r>
          </w:p>
          <w:p>
            <w:r>
              <w:rPr>
                <w:b/>
                <w:bCs/>
                <w:color w:val="1B4F8A"/>
                <w:sz w:val="22"/>
                <w:szCs w:val="22"/>
              </w:rPr>
              <w:t xml:space="preserve">10</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M1 BASELINE H%</w:t>
            </w:r>
          </w:p>
          <w:p>
            <w:r>
              <w:rPr>
                <w:b/>
                <w:bCs/>
                <w:color w:val="1B4F8A"/>
                <w:sz w:val="22"/>
                <w:szCs w:val="22"/>
              </w:rPr>
              <w:t xml:space="preserve">71%</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M3 DESIGN INTENT H%</w:t>
            </w:r>
          </w:p>
          <w:p>
            <w:r>
              <w:rPr>
                <w:b/>
                <w:bCs/>
                <w:color w:val="1B4F8A"/>
                <w:sz w:val="22"/>
                <w:szCs w:val="22"/>
              </w:rPr>
              <w:t xml:space="preserve">47%</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Δ M1 → M3</w:t>
            </w:r>
          </w:p>
          <w:p>
            <w:r>
              <w:rPr>
                <w:b/>
                <w:bCs/>
                <w:color w:val="1B4F8A"/>
                <w:sz w:val="22"/>
                <w:szCs w:val="22"/>
              </w:rPr>
              <w:t xml:space="preserve">-24%</w:t>
            </w:r>
          </w:p>
        </w:tc>
      </w:tr>
    </w:tbl>
    <w:p>
      <w:pPr>
        <w:spacing w:after="40" w:before="260"/>
      </w:pPr>
      <w:r>
        <w:rPr>
          <w:b/>
          <w:bCs/>
          <w:color w:val="0D2D4F"/>
          <w:sz w:val="19"/>
          <w:szCs w:val="19"/>
        </w:rPr>
        <w:t xml:space="preserve">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30"/>
        <w:gridCol w:w="2510"/>
      </w:tblGrid>
      <w:tr>
        <w:trPr>
          <w:tblHeader/>
        </w:trPr>
        <w:tc>
          <w:tcPr>
            <w:tcW w:type="pct" w:w="75%"/>
            <w:shd w:fill="1B4F8A" w:val="clear"/>
            <w:tcMar>
              <w:top w:type="dxa" w:w="60"/>
              <w:left w:type="dxa" w:w="140"/>
              <w:bottom w:type="dxa" w:w="60"/>
              <w:right w:type="dxa" w:w="60"/>
            </w:tcMar>
            <w:vAlign w:val="bottom"/>
          </w:tcPr>
          <w:p>
            <w:pPr>
              <w:jc w:val="left"/>
            </w:pPr>
            <w:r>
              <w:rPr>
                <w:b/>
                <w:bCs/>
                <w:color w:val="FFFFFF"/>
                <w:sz w:val="11"/>
                <w:szCs w:val="11"/>
              </w:rPr>
              <w:t xml:space="preserve">Business Impact Metric &amp; Formula (where confirmed)</w:t>
            </w:r>
          </w:p>
        </w:tc>
        <w:tc>
          <w:tcPr>
            <w:tcW w:type="pct" w:w="25%"/>
            <w:shd w:fill="1B4F8A" w:val="clear"/>
            <w:tcMar>
              <w:top w:type="dxa" w:w="60"/>
              <w:left w:type="dxa" w:w="140"/>
              <w:bottom w:type="dxa" w:w="60"/>
              <w:right w:type="dxa" w:w="60"/>
            </w:tcMar>
            <w:vAlign w:val="bottom"/>
          </w:tcPr>
          <w:p>
            <w:pPr>
              <w:jc w:val="left"/>
            </w:pPr>
            <w:r>
              <w:rPr>
                <w:b/>
                <w:bCs/>
                <w:color w:val="FFFFFF"/>
                <w:sz w:val="11"/>
                <w:szCs w:val="11"/>
              </w:rPr>
              <w:t xml:space="preserve">Source</w:t>
            </w:r>
          </w:p>
        </w:tc>
      </w:tr>
      <w:tr>
        <w:tc>
          <w:tcPr>
            <w:tcW w:type="pct" w:w="7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pPr>
              <w:spacing w:after="40"/>
            </w:pPr>
            <w:r>
              <w:rPr>
                <w:b/>
                <w:bCs/>
                <w:color w:val="444444"/>
                <w:sz w:val="15"/>
                <w:szCs w:val="15"/>
              </w:rPr>
              <w:t xml:space="preserve">Effective tax rate (ETR)</w:t>
            </w:r>
          </w:p>
          <w:p>
            <w:r>
              <w:rPr>
                <w:i/>
                <w:iCs/>
                <w:color w:val="888888"/>
                <w:sz w:val="13"/>
                <w:szCs w:val="13"/>
              </w:rPr>
              <w:t xml:space="preserve">Total tax provision ÷ pre-tax book income</w:t>
            </w:r>
          </w:p>
        </w:tc>
        <w:tc>
          <w:tcPr>
            <w:tcW w:type="pct" w:w="2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888888"/>
                <w:sz w:val="14"/>
                <w:szCs w:val="14"/>
              </w:rPr>
              <w:t xml:space="preserve">Thomson Reuters Institute</w:t>
            </w:r>
          </w:p>
        </w:tc>
      </w:tr>
      <w:tr>
        <w:tc>
          <w:tcPr>
            <w:tcW w:type="pct" w:w="7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pPr>
              <w:spacing w:after="40"/>
            </w:pPr>
            <w:r>
              <w:rPr>
                <w:b/>
                <w:bCs/>
                <w:color w:val="444444"/>
                <w:sz w:val="15"/>
                <w:szCs w:val="15"/>
              </w:rPr>
              <w:t xml:space="preserve">On-time filing rate</w:t>
            </w:r>
          </w:p>
          <w:p>
            <w:r>
              <w:rPr>
                <w:i/>
                <w:iCs/>
                <w:color w:val="888888"/>
                <w:sz w:val="13"/>
                <w:szCs w:val="13"/>
              </w:rPr>
              <w:t xml:space="preserve">% of required tax returns and filings submitted by statutory due date across all jurisdictions</w:t>
            </w:r>
          </w:p>
        </w:tc>
        <w:tc>
          <w:tcPr>
            <w:tcW w:type="pct" w:w="2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888888"/>
                <w:sz w:val="14"/>
                <w:szCs w:val="14"/>
              </w:rPr>
              <w:t xml:space="preserve">Thomson Reuters Institute</w:t>
            </w:r>
          </w:p>
        </w:tc>
      </w:tr>
      <w:tr>
        <w:tc>
          <w:tcPr>
            <w:tcW w:type="pct" w:w="7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pPr>
              <w:spacing w:after="40"/>
            </w:pPr>
            <w:r>
              <w:rPr>
                <w:b/>
                <w:bCs/>
                <w:color w:val="444444"/>
                <w:sz w:val="15"/>
                <w:szCs w:val="15"/>
              </w:rPr>
              <w:t xml:space="preserve">Tax cost ratio</w:t>
            </w:r>
          </w:p>
          <w:p>
            <w:r>
              <w:rPr>
                <w:i/>
                <w:iCs/>
                <w:color w:val="888888"/>
                <w:sz w:val="13"/>
                <w:szCs w:val="13"/>
              </w:rPr>
              <w:t xml:space="preserve">% of finance operating cost dedicated to tax planning, compliance, and reporting activity</w:t>
            </w:r>
          </w:p>
        </w:tc>
        <w:tc>
          <w:tcPr>
            <w:tcW w:type="pct" w:w="2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888888"/>
                <w:sz w:val="14"/>
                <w:szCs w:val="14"/>
              </w:rPr>
              <w:t xml:space="preserve">APQC OSB</w:t>
            </w:r>
          </w:p>
        </w:tc>
      </w:tr>
    </w:tbl>
    <w:p>
      <w:pPr>
        <w:spacing w:after="40" w:before="260"/>
      </w:pPr>
      <w:r>
        <w:rPr>
          <w:b/>
          <w:bCs/>
          <w:color w:val="0D2D4F"/>
          <w:sz w:val="19"/>
          <w:szCs w:val="19"/>
        </w:rPr>
        <w:t xml:space="preserve">Design Narrative</w:t>
      </w:r>
    </w:p>
    <w:p>
      <w:pPr>
        <w:spacing w:after="160"/>
      </w:pPr>
      <w:r>
        <w:rPr>
          <w:color w:val="444444"/>
          <w:sz w:val="18"/>
          <w:szCs w:val="18"/>
        </w:rPr>
        <w:t xml:space="preserve">Tax Strategy-to-Compliance is PCF 9.0's second Strategy-tier value stream: 9.9.1 (Develop tax strategy and plan) is CFO's own strategy-formation L3, mirroring Plan-to-Perform's CFO-owned apex rather than duplicating it — the two streams' Executive-scope L3s address distinct strategy domains (financial-resources strategy vs. tax strategy) even though both route through the same CFO role, a direct consequence of Finance's role catalog concentrating all domain strategy under one Executive rather than splitting it across peers the way IT does. Tax Manager then holds Accountable for the stream's entire compliance-execution half (9.9.2) — return preparation, deferred-tax calculation, and compliance monitoring across every jurisdiction the strategy L3 sets direction for. At just 2 L3s and 10 activities, this is PCF 9.0's second-smallest value stream, smaller only than Acquire-to-Retire. Its steepest AI-absorption opportunity sits in 9.9.1.3 (Maintain tax master data, Transaction-pattern, -25 points) — the shallowest steepest-gap of any PCF 9.0 value stream, reflecting how much of tax work retains a Knowledge-pattern judgment component even at the activity level.</w:t>
      </w:r>
    </w:p>
    <w:p>
      <w:pPr>
        <w:spacing w:after="40" w:before="260"/>
      </w:pPr>
      <w:r>
        <w:rPr>
          <w:b/>
          <w:bCs/>
          <w:color w:val="0D2D4F"/>
          <w:sz w:val="19"/>
          <w:szCs w:val="19"/>
        </w:rPr>
        <w:t xml:space="preserve">AI Capability Map</w:t>
      </w:r>
    </w:p>
    <w:p>
      <w:pPr>
        <w:spacing w:after="120"/>
      </w:pPr>
      <w:r>
        <w:rPr>
          <w:color w:val="888888"/>
          <w:sz w:val="14"/>
          <w:szCs w:val="14"/>
        </w:rPr>
        <w:t xml:space="preserve">Pattern-type distribution across this value stream's activity units. H% figures are the pattern type's standard value at each maturity level, applied consistently across all PCF domains.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28"/>
        <w:gridCol w:w="100"/>
        <w:gridCol w:w="1928"/>
        <w:gridCol w:w="100"/>
        <w:gridCol w:w="1928"/>
        <w:gridCol w:w="100"/>
        <w:gridCol w:w="1928"/>
        <w:gridCol w:w="100"/>
        <w:gridCol w:w="1928"/>
      </w:tblGrid>
      <w:tr>
        <w:tc>
          <w:tcPr>
            <w:tcW w:type="pct" w:w="19.2%"/>
            <w:tcBorders>
              <w:top w:val="none" w:color="FFFFFF" w:sz="0"/>
              <w:left w:val="none" w:color="FFFFFF" w:sz="0"/>
              <w:bottom w:val="none" w:color="FFFFFF" w:sz="0"/>
              <w:right w:val="none" w:color="FFFFFF" w:sz="0"/>
            </w:tcBorders>
            <w:shd w:fill="EEF3FA" w:val="clear"/>
            <w:tcMar>
              <w:top w:type="dxa" w:w="140"/>
              <w:left w:type="dxa" w:w="120"/>
              <w:bottom w:type="dxa" w:w="140"/>
              <w:right w:type="dxa" w:w="120"/>
            </w:tcMar>
          </w:tcPr>
          <w:p>
            <w:r>
              <w:rPr>
                <w:b/>
                <w:bCs/>
                <w:color w:val="1B4F8A"/>
                <w:sz w:val="15"/>
                <w:szCs w:val="15"/>
              </w:rPr>
              <w:t xml:space="preserve">Decision</w:t>
            </w:r>
          </w:p>
          <w:p>
            <w:pPr>
              <w:spacing w:before="30"/>
            </w:pPr>
            <w:r>
              <w:rPr>
                <w:i/>
                <w:iCs/>
                <w:color w:val="1B4F8A"/>
                <w:sz w:val="10"/>
                <w:szCs w:val="10"/>
              </w:rPr>
              <w:t xml:space="preserve">Judgment &amp; Authority — gates that stay human by design</w:t>
            </w:r>
          </w:p>
          <w:p>
            <w:pPr>
              <w:spacing w:before="60"/>
            </w:pPr>
            <w:r>
              <w:rPr>
                <w:b/>
                <w:bCs/>
                <w:color w:val="1B4F8A"/>
                <w:sz w:val="15"/>
                <w:szCs w:val="15"/>
              </w:rPr>
              <w:t xml:space="preserve">0 L4 activities</w:t>
            </w:r>
          </w:p>
          <w:p>
            <w:pPr>
              <w:spacing w:before="40"/>
            </w:pPr>
            <w:r>
              <w:rPr>
                <w:i/>
                <w:iCs/>
                <w:color w:val="1B4F8A"/>
                <w:sz w:val="11"/>
                <w:szCs w:val="11"/>
              </w:rPr>
              <w:t xml:space="preserve">No activities of this pattern in this value stream</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F3F0FE" w:val="clear"/>
            <w:tcMar>
              <w:top w:type="dxa" w:w="140"/>
              <w:left w:type="dxa" w:w="120"/>
              <w:bottom w:type="dxa" w:w="140"/>
              <w:right w:type="dxa" w:w="120"/>
            </w:tcMar>
          </w:tcPr>
          <w:p>
            <w:r>
              <w:rPr>
                <w:b/>
                <w:bCs/>
                <w:color w:val="534AB7"/>
                <w:sz w:val="15"/>
                <w:szCs w:val="15"/>
              </w:rPr>
              <w:t xml:space="preserve">Knowledge</w:t>
            </w:r>
          </w:p>
          <w:p>
            <w:pPr>
              <w:spacing w:before="30"/>
            </w:pPr>
            <w:r>
              <w:rPr>
                <w:i/>
                <w:iCs/>
                <w:color w:val="534AB7"/>
                <w:sz w:val="10"/>
                <w:szCs w:val="10"/>
              </w:rPr>
              <w:t xml:space="preserve">Synthesis &amp; Interpretation — judgment-driven work</w:t>
            </w:r>
          </w:p>
          <w:p>
            <w:pPr>
              <w:spacing w:before="60"/>
            </w:pPr>
            <w:r>
              <w:rPr>
                <w:b/>
                <w:bCs/>
                <w:color w:val="534AB7"/>
                <w:sz w:val="15"/>
                <w:szCs w:val="15"/>
              </w:rPr>
              <w:t xml:space="preserve">3 L4 activities</w:t>
            </w:r>
          </w:p>
          <w:p>
            <w:pPr>
              <w:spacing w:before="40"/>
            </w:pPr>
            <w:r>
              <w:rPr>
                <w:color w:val="534AB7"/>
                <w:sz w:val="12"/>
                <w:szCs w:val="12"/>
              </w:rPr>
              <w:t xml:space="preserve">M1 85%  →  M3 65%</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E0F2FE" w:val="clear"/>
            <w:tcMar>
              <w:top w:type="dxa" w:w="140"/>
              <w:left w:type="dxa" w:w="120"/>
              <w:bottom w:type="dxa" w:w="140"/>
              <w:right w:type="dxa" w:w="120"/>
            </w:tcMar>
          </w:tcPr>
          <w:p>
            <w:r>
              <w:rPr>
                <w:b/>
                <w:bCs/>
                <w:color w:val="0369A1"/>
                <w:sz w:val="15"/>
                <w:szCs w:val="15"/>
              </w:rPr>
              <w:t xml:space="preserve">Document</w:t>
            </w:r>
          </w:p>
          <w:p>
            <w:pPr>
              <w:spacing w:before="30"/>
            </w:pPr>
            <w:r>
              <w:rPr>
                <w:i/>
                <w:iCs/>
                <w:color w:val="0369A1"/>
                <w:sz w:val="10"/>
                <w:szCs w:val="10"/>
              </w:rPr>
              <w:t xml:space="preserve">Content Generation — drafting and communication</w:t>
            </w:r>
          </w:p>
          <w:p>
            <w:pPr>
              <w:spacing w:before="60"/>
            </w:pPr>
            <w:r>
              <w:rPr>
                <w:b/>
                <w:bCs/>
                <w:color w:val="0369A1"/>
                <w:sz w:val="15"/>
                <w:szCs w:val="15"/>
              </w:rPr>
              <w:t xml:space="preserve">0 L4 activities</w:t>
            </w:r>
          </w:p>
          <w:p>
            <w:pPr>
              <w:spacing w:before="40"/>
            </w:pPr>
            <w:r>
              <w:rPr>
                <w:i/>
                <w:iCs/>
                <w:color w:val="0369A1"/>
                <w:sz w:val="11"/>
                <w:szCs w:val="11"/>
              </w:rPr>
              <w:t xml:space="preserve">No activities of this pattern in this value stream</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DCFCE7" w:val="clear"/>
            <w:tcMar>
              <w:top w:type="dxa" w:w="140"/>
              <w:left w:type="dxa" w:w="120"/>
              <w:bottom w:type="dxa" w:w="140"/>
              <w:right w:type="dxa" w:w="120"/>
            </w:tcMar>
          </w:tcPr>
          <w:p>
            <w:r>
              <w:rPr>
                <w:b/>
                <w:bCs/>
                <w:color w:val="166534"/>
                <w:sz w:val="15"/>
                <w:szCs w:val="15"/>
              </w:rPr>
              <w:t xml:space="preserve">Transaction</w:t>
            </w:r>
          </w:p>
          <w:p>
            <w:pPr>
              <w:spacing w:before="30"/>
            </w:pPr>
            <w:r>
              <w:rPr>
                <w:i/>
                <w:iCs/>
                <w:color w:val="166534"/>
                <w:sz w:val="10"/>
                <w:szCs w:val="10"/>
              </w:rPr>
              <w:t xml:space="preserve">Rules-Based Processing — suited to automation</w:t>
            </w:r>
          </w:p>
          <w:p>
            <w:pPr>
              <w:spacing w:before="60"/>
            </w:pPr>
            <w:r>
              <w:rPr>
                <w:b/>
                <w:bCs/>
                <w:color w:val="166534"/>
                <w:sz w:val="15"/>
                <w:szCs w:val="15"/>
              </w:rPr>
              <w:t xml:space="preserve">7 L4 activities</w:t>
            </w:r>
          </w:p>
          <w:p>
            <w:pPr>
              <w:spacing w:before="40"/>
            </w:pPr>
            <w:r>
              <w:rPr>
                <w:color w:val="166534"/>
                <w:sz w:val="12"/>
                <w:szCs w:val="12"/>
              </w:rPr>
              <w:t xml:space="preserve">M1 60%  →  M3 35%</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FEE2E2" w:val="clear"/>
            <w:tcMar>
              <w:top w:type="dxa" w:w="140"/>
              <w:left w:type="dxa" w:w="120"/>
              <w:bottom w:type="dxa" w:w="140"/>
              <w:right w:type="dxa" w:w="120"/>
            </w:tcMar>
          </w:tcPr>
          <w:p>
            <w:r>
              <w:rPr>
                <w:b/>
                <w:bCs/>
                <w:color w:val="991B1B"/>
                <w:sz w:val="15"/>
                <w:szCs w:val="15"/>
              </w:rPr>
              <w:t xml:space="preserve">Exception</w:t>
            </w:r>
          </w:p>
          <w:p>
            <w:pPr>
              <w:spacing w:before="30"/>
            </w:pPr>
            <w:r>
              <w:rPr>
                <w:i/>
                <w:iCs/>
                <w:color w:val="991B1B"/>
                <w:sz w:val="10"/>
                <w:szCs w:val="10"/>
              </w:rPr>
              <w:t xml:space="preserve">Non-Standard Resolution — human-resolved by nature</w:t>
            </w:r>
          </w:p>
          <w:p>
            <w:pPr>
              <w:spacing w:before="60"/>
            </w:pPr>
            <w:r>
              <w:rPr>
                <w:b/>
                <w:bCs/>
                <w:color w:val="991B1B"/>
                <w:sz w:val="15"/>
                <w:szCs w:val="15"/>
              </w:rPr>
              <w:t xml:space="preserve">0 L4 activities</w:t>
            </w:r>
          </w:p>
          <w:p>
            <w:pPr>
              <w:spacing w:before="40"/>
            </w:pPr>
            <w:r>
              <w:rPr>
                <w:i/>
                <w:iCs/>
                <w:color w:val="991B1B"/>
                <w:sz w:val="11"/>
                <w:szCs w:val="11"/>
              </w:rPr>
              <w:t xml:space="preserve">No activities of this pattern in this value stream</w:t>
            </w:r>
          </w:p>
        </w:tc>
      </w:tr>
    </w:tbl>
    <w:p>
      <w:pPr>
        <w:spacing w:after="40" w:before="260"/>
      </w:pPr>
      <w:r>
        <w:rPr>
          <w:b/>
          <w:bCs/>
          <w:color w:val="0D2D4F"/>
          <w:sz w:val="19"/>
          <w:szCs w:val="19"/>
        </w:rPr>
        <w:t xml:space="preserve">Process Accountability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3540"/>
        <w:gridCol w:w="2000"/>
      </w:tblGrid>
      <w:tr>
        <w:trPr>
          <w:tblHeader/>
        </w:trPr>
        <w:tc>
          <w:tcPr>
            <w:tcW w:type="pct" w:w="28.88%"/>
            <w:shd w:fill="1B4F8A" w:val="clear"/>
            <w:tcMar>
              <w:top w:type="dxa" w:w="60"/>
              <w:left w:type="dxa" w:w="140"/>
              <w:bottom w:type="dxa" w:w="60"/>
              <w:right w:type="dxa" w:w="60"/>
            </w:tcMar>
            <w:vAlign w:val="bottom"/>
          </w:tcPr>
          <w:p>
            <w:pPr>
              <w:jc w:val="left"/>
            </w:pPr>
            <w:r>
              <w:rPr>
                <w:b/>
                <w:bCs/>
                <w:color w:val="FFFFFF"/>
                <w:sz w:val="11"/>
                <w:szCs w:val="11"/>
              </w:rPr>
              <w:t xml:space="preserve">Process Accountability</w:t>
            </w:r>
          </w:p>
        </w:tc>
        <w:tc>
          <w:tcPr>
            <w:tcW w:type="pct" w:w="15.94%"/>
            <w:shd w:fill="1B4F8A" w:val="clear"/>
            <w:tcMar>
              <w:top w:type="dxa" w:w="60"/>
              <w:left w:type="dxa" w:w="140"/>
              <w:bottom w:type="dxa" w:w="60"/>
              <w:right w:type="dxa" w:w="60"/>
            </w:tcMar>
            <w:vAlign w:val="bottom"/>
          </w:tcPr>
          <w:p>
            <w:pPr>
              <w:jc w:val="center"/>
            </w:pPr>
            <w:r>
              <w:rPr>
                <w:b/>
                <w:bCs/>
                <w:color w:val="FFFFFF"/>
                <w:sz w:val="11"/>
                <w:szCs w:val="11"/>
              </w:rPr>
              <w:t xml:space="preserve">Tier</w:t>
            </w:r>
          </w:p>
        </w:tc>
        <w:tc>
          <w:tcPr>
            <w:tcW w:type="pct" w:w="35.26%"/>
            <w:shd w:fill="1B4F8A" w:val="clear"/>
            <w:tcMar>
              <w:top w:type="dxa" w:w="60"/>
              <w:left w:type="dxa" w:w="140"/>
              <w:bottom w:type="dxa" w:w="60"/>
              <w:right w:type="dxa" w:w="60"/>
            </w:tcMar>
            <w:vAlign w:val="bottom"/>
          </w:tcPr>
          <w:p>
            <w:pPr>
              <w:jc w:val="left"/>
            </w:pPr>
            <w:r>
              <w:rPr>
                <w:b/>
                <w:bCs/>
                <w:color w:val="FFFFFF"/>
                <w:sz w:val="11"/>
                <w:szCs w:val="11"/>
              </w:rPr>
              <w:t xml:space="preserve">L3 Processes</w:t>
            </w:r>
          </w:p>
        </w:tc>
        <w:tc>
          <w:tcPr>
            <w:tcW w:type="pct" w:w="19.92%"/>
            <w:shd w:fill="1B4F8A" w:val="clear"/>
            <w:tcMar>
              <w:top w:type="dxa" w:w="60"/>
              <w:left w:type="dxa" w:w="140"/>
              <w:bottom w:type="dxa" w:w="60"/>
              <w:right w:type="dxa" w:w="60"/>
            </w:tcMar>
            <w:vAlign w:val="bottom"/>
          </w:tcPr>
          <w:p>
            <w:pPr>
              <w:jc w:val="center"/>
            </w:pPr>
            <w:r>
              <w:rPr>
                <w:b/>
                <w:bCs/>
                <w:color w:val="FFFFFF"/>
                <w:sz w:val="11"/>
                <w:szCs w:val="11"/>
              </w:rPr>
              <w:t xml:space="preserve">L4 Activities</w:t>
            </w:r>
          </w:p>
        </w:tc>
      </w:tr>
      <w:tr>
        <w:tc>
          <w:tcPr>
            <w:tcW w:type="pct" w:w="28.88%"/>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5"/>
                <w:szCs w:val="15"/>
              </w:rPr>
              <w:t xml:space="preserve">CFO</w:t>
            </w:r>
          </w:p>
        </w:tc>
        <w:tc>
          <w:tcPr>
            <w:tcW w:type="pct" w:w="15.94%"/>
            <w:tcBorders>
              <w:top w:val="single" w:color="7AAED6" w:sz="2"/>
              <w:left w:val="single" w:color="7AAED6" w:sz="2"/>
              <w:bottom w:val="single" w:color="7AAED6" w:sz="2"/>
              <w:right w:val="single" w:color="7AAED6" w:sz="2"/>
            </w:tcBorders>
            <w:shd w:fill="FEE2E2" w:val="clear"/>
            <w:tcMar>
              <w:top w:type="dxa" w:w="80"/>
              <w:left w:type="dxa" w:w="100"/>
              <w:bottom w:type="dxa" w:w="80"/>
              <w:right w:type="dxa" w:w="100"/>
            </w:tcMar>
            <w:vAlign w:val="top"/>
          </w:tcPr>
          <w:p>
            <w:pPr>
              <w:jc w:val="center"/>
            </w:pPr>
            <w:r>
              <w:rPr>
                <w:b/>
                <w:bCs/>
                <w:color w:val="991B1B"/>
                <w:sz w:val="12"/>
                <w:szCs w:val="12"/>
              </w:rPr>
              <w:t xml:space="preserve">Executive</w:t>
            </w:r>
          </w:p>
        </w:tc>
        <w:tc>
          <w:tcPr>
            <w:tcW w:type="pct" w:w="35.26%"/>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666666"/>
                <w:sz w:val="13"/>
                <w:szCs w:val="13"/>
              </w:rPr>
              <w:t xml:space="preserve">9.9.1</w:t>
            </w:r>
          </w:p>
        </w:tc>
        <w:tc>
          <w:tcPr>
            <w:tcW w:type="pct" w:w="19.92%"/>
            <w:tcBorders>
              <w:top w:val="single" w:color="7AAED6" w:sz="2"/>
              <w:left w:val="single" w:color="7AAED6" w:sz="2"/>
              <w:bottom w:val="single" w:color="7AAED6" w:sz="2"/>
              <w:right w:val="single" w:color="7AAED6" w:sz="2"/>
            </w:tcBorders>
            <w:shd w:fill="FFFFFF" w:val="clear"/>
            <w:tcMar>
              <w:top w:type="dxa" w:w="80"/>
              <w:left w:type="dxa" w:w="100"/>
              <w:bottom w:type="dxa" w:w="80"/>
              <w:right w:type="dxa" w:w="100"/>
            </w:tcMar>
            <w:vAlign w:val="top"/>
          </w:tcPr>
          <w:p>
            <w:pPr>
              <w:jc w:val="center"/>
            </w:pPr>
            <w:r>
              <w:rPr>
                <w:color w:val="444444"/>
                <w:sz w:val="15"/>
                <w:szCs w:val="15"/>
              </w:rPr>
              <w:t xml:space="preserve">3</w:t>
            </w:r>
          </w:p>
        </w:tc>
      </w:tr>
      <w:tr>
        <w:tc>
          <w:tcPr>
            <w:tcW w:type="pct" w:w="28.88%"/>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5"/>
                <w:szCs w:val="15"/>
              </w:rPr>
              <w:t xml:space="preserve">Tax Manager</w:t>
            </w:r>
          </w:p>
        </w:tc>
        <w:tc>
          <w:tcPr>
            <w:tcW w:type="pct" w:w="15.94%"/>
            <w:tcBorders>
              <w:top w:val="single" w:color="7AAED6" w:sz="2"/>
              <w:left w:val="single" w:color="7AAED6" w:sz="2"/>
              <w:bottom w:val="single" w:color="7AAED6" w:sz="2"/>
              <w:right w:val="single" w:color="7AAED6" w:sz="2"/>
            </w:tcBorders>
            <w:shd w:fill="EEF3FA" w:val="clear"/>
            <w:tcMar>
              <w:top w:type="dxa" w:w="80"/>
              <w:left w:type="dxa" w:w="100"/>
              <w:bottom w:type="dxa" w:w="80"/>
              <w:right w:type="dxa" w:w="100"/>
            </w:tcMar>
            <w:vAlign w:val="top"/>
          </w:tcPr>
          <w:p>
            <w:pPr>
              <w:jc w:val="center"/>
            </w:pPr>
            <w:r>
              <w:rPr>
                <w:b/>
                <w:bCs/>
                <w:color w:val="1B4F8A"/>
                <w:sz w:val="12"/>
                <w:szCs w:val="12"/>
              </w:rPr>
              <w:t xml:space="preserve">Managerial</w:t>
            </w:r>
          </w:p>
        </w:tc>
        <w:tc>
          <w:tcPr>
            <w:tcW w:type="pct" w:w="35.26%"/>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666666"/>
                <w:sz w:val="13"/>
                <w:szCs w:val="13"/>
              </w:rPr>
              <w:t xml:space="preserve">9.9.2</w:t>
            </w:r>
          </w:p>
        </w:tc>
        <w:tc>
          <w:tcPr>
            <w:tcW w:type="pct" w:w="19.92%"/>
            <w:tcBorders>
              <w:top w:val="single" w:color="7AAED6" w:sz="2"/>
              <w:left w:val="single" w:color="7AAED6" w:sz="2"/>
              <w:bottom w:val="single" w:color="7AAED6" w:sz="2"/>
              <w:right w:val="single" w:color="7AAED6" w:sz="2"/>
            </w:tcBorders>
            <w:shd w:fill="FAFBFD" w:val="clear"/>
            <w:tcMar>
              <w:top w:type="dxa" w:w="80"/>
              <w:left w:type="dxa" w:w="100"/>
              <w:bottom w:type="dxa" w:w="80"/>
              <w:right w:type="dxa" w:w="100"/>
            </w:tcMar>
            <w:vAlign w:val="top"/>
          </w:tcPr>
          <w:p>
            <w:pPr>
              <w:jc w:val="center"/>
            </w:pPr>
            <w:r>
              <w:rPr>
                <w:color w:val="444444"/>
                <w:sz w:val="15"/>
                <w:szCs w:val="15"/>
              </w:rPr>
              <w:t xml:space="preserve">7</w:t>
            </w:r>
          </w:p>
        </w:tc>
      </w:tr>
    </w:tbl>
    <w:p>
      <w:pPr>
        <w:spacing w:after="40" w:before="260"/>
      </w:pPr>
      <w:r>
        <w:rPr>
          <w:b/>
          <w:bCs/>
          <w:color w:val="0D2D4F"/>
          <w:sz w:val="19"/>
          <w:szCs w:val="19"/>
        </w:rPr>
        <w:t xml:space="preserve">Handoff Points</w:t>
      </w:r>
    </w:p>
    <w:p>
      <w:pPr>
        <w:spacing w:after="120"/>
      </w:pPr>
      <w:r>
        <w:rPr>
          <w:color w:val="444444"/>
          <w:sz w:val="18"/>
          <w:szCs w:val="18"/>
        </w:rPr>
        <w:t xml:space="preserve">Tax Strategy-to-Compliance opens with CFO-accountable strategy formation (9.9.1) — setting foreign, national, state, and local tax strategy and consolidating the total tax plan.</w:t>
      </w:r>
    </w:p>
    <w:p>
      <w:pPr>
        <w:spacing w:after="160"/>
      </w:pPr>
      <w:r>
        <w:rPr>
          <w:color w:val="444444"/>
          <w:sz w:val="18"/>
          <w:szCs w:val="18"/>
        </w:rPr>
        <w:t xml:space="preserve">That strategy hands entirely to Tax Manager for compliance execution (9.9.2) — preparing returns, calculating deferred taxes, and monitoring compliance — closing the stream before its outputs feed Time-to-Pay's payroll-tax processing (9.5.3) and Global Trade &amp; Currency's duty/trade-preference calculations, both of which route through the same Tax Manager role.</w:t>
      </w:r>
    </w:p>
    <w:p>
      <w:pPr>
        <w:spacing w:after="40" w:before="260"/>
      </w:pPr>
      <w:r>
        <w:rPr>
          <w:b/>
          <w:bCs/>
          <w:color w:val="0D2D4F"/>
          <w:sz w:val="19"/>
          <w:szCs w:val="19"/>
        </w:rPr>
        <w:t xml:space="preserve">Governed Decision Points</w:t>
      </w:r>
    </w:p>
    <w:p>
      <w:r>
        <w:rPr>
          <w:i/>
          <w:iCs/>
          <w:color w:val="888888"/>
          <w:sz w:val="14"/>
          <w:szCs w:val="14"/>
        </w:rPr>
        <w:t xml:space="preserve">No Decision- or Exception-pattern activity in this value stream — every step here is Knowledge, Document, Transaction, or Mixed without an embedded Decision/Exception component.</w:t>
      </w:r>
    </w:p>
    <w:p>
      <w:pPr>
        <w:spacing w:before="260"/>
      </w:pPr>
      <w:r>
        <w:rPr>
          <w:i/>
          <w:iCs/>
          <w:color w:val="888888"/>
          <w:sz w:val="13"/>
          <w:szCs w:val="13"/>
        </w:rPr>
        <w:t xml:space="preserve">© Timothy P. King &amp; Claude (Anthropic) 2026</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9.9 — Tax Strategy-to-Compliance — Value Stream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2026-08-18T22:40:17.952Z</dcterms:created>
  <dcterms:modified xsi:type="dcterms:W3CDTF">2026-08-18T22:40:17.953Z</dcterms:modified>
</cp:coreProperties>
</file>

<file path=docProps/custom.xml><?xml version="1.0" encoding="utf-8"?>
<Properties xmlns="http://schemas.openxmlformats.org/officeDocument/2006/custom-properties" xmlns:vt="http://schemas.openxmlformats.org/officeDocument/2006/docPropsVTypes"/>
</file>