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40"/>
        <w:tblBorders>
          <w:top w:val="none"/>
          <w:left w:val="none"/>
          <w:bottom w:val="none"/>
          <w:right w:val="none"/>
          <w:insideH w:val="none"/>
          <w:insideV w:val="none"/>
        </w:tblBorders>
      </w:tblPr>
      <w:tblGrid>
        <w:gridCol w:w="10040"/>
      </w:tblGrid>
      <w:tr>
        <w:tc>
          <w:tcPr>
            <w:tcW w:type="dxa" w:w="10040"/>
            <w:shd w:fill="0D2D4F" w:val="clear"/>
            <w:tcMar>
              <w:top w:type="dxa" w:w="220"/>
              <w:left w:type="dxa" w:w="200"/>
              <w:bottom w:type="dxa" w:w="220"/>
              <w:right w:type="dxa" w:w="200"/>
            </w:tcMar>
          </w:tcPr>
          <w:p>
            <w:pPr>
              <w:spacing w:after="60"/>
              <w:jc w:val="center"/>
            </w:pPr>
            <w:r>
              <w:rPr>
                <w:rFonts w:ascii="Georgia" w:cs="Georgia" w:eastAsia="Georgia" w:hAnsi="Georgia"/>
                <w:b/>
                <w:bCs/>
                <w:color w:val="FFFFFF"/>
                <w:sz w:val="26"/>
                <w:szCs w:val="26"/>
              </w:rPr>
              <w:t xml:space="preserve">The Human-AI Partnership Framework</w:t>
            </w:r>
          </w:p>
          <w:p>
            <w:pPr>
              <w:jc w:val="center"/>
            </w:pPr>
            <w:r>
              <w:rPr>
                <w:rFonts w:ascii="Georgia" w:cs="Georgia" w:eastAsia="Georgia" w:hAnsi="Georgia"/>
                <w:i/>
                <w:iCs/>
                <w:color w:val="9FC2EE"/>
                <w:sz w:val="16"/>
                <w:szCs w:val="16"/>
              </w:rPr>
              <w:t xml:space="preserve">Where human judgment belongs</w:t>
            </w:r>
          </w:p>
        </w:tc>
      </w:tr>
    </w:tbl>
    <w:p>
      <w:pPr>
        <w:spacing w:after="160"/>
      </w:pPr>
    </w:p>
    <w:p>
      <w:pPr>
        <w:spacing w:after="80" w:before="200"/>
        <w:jc w:val="center"/>
      </w:pPr>
      <w:r>
        <w:rPr>
          <w:rFonts w:ascii="Segoe UI" w:cs="Segoe UI" w:eastAsia="Segoe UI" w:hAnsi="Segoe UI"/>
          <w:b/>
          <w:bCs/>
          <w:color w:val="888888"/>
          <w:spacing w:val="12"/>
          <w:sz w:val="14"/>
          <w:szCs w:val="14"/>
        </w:rPr>
        <w:t xml:space="preserve">HITL-DRIVEN ARCHITECTURE  ·  READ-ONLY  ·  DIAGNOSTIC  ·  NOT A CONTENT CHANGE</w:t>
      </w:r>
    </w:p>
    <w:p>
      <w:pPr>
        <w:spacing w:after="60"/>
        <w:jc w:val="center"/>
      </w:pPr>
      <w:r>
        <w:rPr>
          <w:rFonts w:ascii="Georgia" w:cs="Georgia" w:eastAsia="Georgia" w:hAnsi="Georgia"/>
          <w:b/>
          <w:bCs/>
          <w:color w:val="0D2D4F"/>
          <w:sz w:val="32"/>
          <w:szCs w:val="32"/>
        </w:rPr>
        <w:t xml:space="preserve">Content Generation Rules — Compliance Audit</w:t>
      </w:r>
    </w:p>
    <w:p>
      <w:pPr>
        <w:spacing w:after="200"/>
        <w:jc w:val="center"/>
      </w:pPr>
      <w:r>
        <w:rPr>
          <w:rFonts w:ascii="Georgia" w:cs="Georgia" w:eastAsia="Georgia" w:hAnsi="Georgia"/>
          <w:b/>
          <w:bCs/>
          <w:i/>
          <w:iCs/>
          <w:color w:val="1B4F8A"/>
          <w:sz w:val="19"/>
          <w:szCs w:val="19"/>
        </w:rPr>
        <w:t xml:space="preserve">WIP Hub Pass (Proof-of-Concept)</w:t>
      </w:r>
    </w:p>
    <w:p>
      <w:pPr>
        <w:spacing w:after="160"/>
      </w:pPr>
      <w:r>
        <w:rPr>
          <w:rFonts w:ascii="Segoe UI" w:cs="Segoe UI" w:eastAsia="Segoe UI" w:hAnsi="Segoe UI"/>
          <w:color w:val="444444"/>
          <w:sz w:val="18"/>
          <w:szCs w:val="18"/>
        </w:rPr>
        <w:t xml:space="preserve">A proof-of-concept pass checking the 17 proposed rules against the WIP hub's own 9 in-scope documents — before any rule is approved, and before anything gets applied to the live framework.</w:t>
      </w:r>
    </w:p>
    <w:p>
      <w:pPr>
        <w:spacing w:after="80"/>
      </w:pPr>
    </w:p>
    <w:tbl>
      <w:tblPr>
        <w:tblW w:type="dxa" w:w="10040"/>
        <w:tblBorders>
          <w:top w:val="none"/>
          <w:left w:val="single" w:color="1B4F8A" w:sz="24"/>
          <w:bottom w:val="none"/>
          <w:right w:val="none"/>
          <w:insideH w:val="none"/>
          <w:insideV w:val="none"/>
        </w:tblBorders>
      </w:tblPr>
      <w:tblGrid>
        <w:gridCol w:w="10040"/>
      </w:tblGrid>
      <w:tr>
        <w:tc>
          <w:tcPr>
            <w:tcW w:type="dxa" w:w="10040"/>
            <w:shd w:fill="EEF3FA" w:val="clear"/>
            <w:tcMar>
              <w:top w:type="dxa" w:w="180"/>
              <w:left w:type="dxa" w:w="260"/>
              <w:bottom w:type="dxa" w:w="180"/>
              <w:right w:type="dxa" w:w="260"/>
            </w:tcMar>
          </w:tcPr>
          <w:p>
            <w:pPr>
              <w:spacing w:after="140"/>
            </w:pPr>
            <w:r>
              <w:rPr>
                <w:rFonts w:ascii="Segoe UI" w:cs="Segoe UI" w:eastAsia="Segoe UI" w:hAnsi="Segoe UI"/>
                <w:b/>
                <w:bCs/>
                <w:color w:val="1B4F8A"/>
                <w:sz w:val="17"/>
                <w:szCs w:val="17"/>
              </w:rPr>
              <w:t xml:space="preserve">Scope: </w:t>
            </w:r>
            <w:r>
              <w:rPr>
                <w:rFonts w:ascii="Segoe UI" w:cs="Segoe UI" w:eastAsia="Segoe UI" w:hAnsi="Segoe UI"/>
                <w:color w:val="333333"/>
                <w:sz w:val="17"/>
                <w:szCs w:val="17"/>
              </w:rPr>
              <w:t xml:space="preserve">the 9 documents in the WIP hub that are Tim/Claude's own generated content — the 3 role pattern-transition narratives, The Shock Wave Effect, From Concept to Principle, the 3 rules docs themselves, and Talking Through Your Questions. GiGi's 2 review notes are excluded, same reasoning as the Word-doc backfill: they're her own words, not ours to audit against our own house rules. Nothing on the live, published framework was touched or scored in this pass.</w:t>
            </w:r>
          </w:p>
          <w:p>
            <w:pPr>
              <w:spacing w:after="0"/>
            </w:pPr>
            <w:r>
              <w:rPr>
                <w:rFonts w:ascii="Segoe UI" w:cs="Segoe UI" w:eastAsia="Segoe UI" w:hAnsi="Segoe UI"/>
                <w:b/>
                <w:bCs/>
                <w:color w:val="1B4F8A"/>
                <w:sz w:val="17"/>
                <w:szCs w:val="17"/>
              </w:rPr>
              <w:t xml:space="preserve">Method: </w:t>
            </w:r>
            <w:r>
              <w:rPr>
                <w:rFonts w:ascii="Segoe UI" w:cs="Segoe UI" w:eastAsia="Segoe UI" w:hAnsi="Segoe UI"/>
                <w:color w:val="333333"/>
                <w:sz w:val="17"/>
                <w:szCs w:val="17"/>
              </w:rPr>
              <w:t xml:space="preserve">mechanically checkable rules (colors/fonts, callout counts, banned phrases, H% proximity, etc.) were run through a script against the raw source of each document; every hit was then read in context by hand — a keyword match is not the same as a violation, and several of the strongest-looking hits below turned out to be the rules docs themselves quoting the phrase as an example. Rules that require actual judgment (does this page link a pattern legend? is the load-bearing claim pulled out?) were assessed by a direct read, not a script.</w:t>
            </w:r>
          </w:p>
        </w:tc>
      </w:tr>
    </w:tbl>
    <w:p>
      <w:pPr>
        <w:spacing w:after="160"/>
      </w:pPr>
    </w:p>
    <w:tbl>
      <w:tblPr>
        <w:tblW w:type="dxa" w:w="10040"/>
        <w:tblBorders>
          <w:top w:val="none"/>
          <w:left w:val="single" w:color="B8873F" w:sz="24"/>
          <w:bottom w:val="none"/>
          <w:right w:val="none"/>
          <w:insideH w:val="none"/>
          <w:insideV w:val="none"/>
        </w:tblBorders>
      </w:tblPr>
      <w:tblGrid>
        <w:gridCol w:w="10040"/>
      </w:tblGrid>
      <w:tr>
        <w:tc>
          <w:tcPr>
            <w:tcW w:type="dxa" w:w="10040"/>
            <w:shd w:fill="FEF3C7" w:val="clear"/>
            <w:tcMar>
              <w:top w:type="dxa" w:w="180"/>
              <w:left w:type="dxa" w:w="260"/>
              <w:bottom w:type="dxa" w:w="180"/>
              <w:right w:type="dxa" w:w="260"/>
            </w:tcMar>
          </w:tcPr>
          <w:p>
            <w:r>
              <w:rPr>
                <w:rFonts w:ascii="Segoe UI" w:cs="Segoe UI" w:eastAsia="Segoe UI" w:hAnsi="Segoe UI"/>
                <w:b/>
                <w:bCs/>
                <w:i/>
                <w:iCs/>
                <w:color w:val="7A5A1E"/>
                <w:sz w:val="17"/>
                <w:szCs w:val="17"/>
              </w:rPr>
              <w:t xml:space="preserve">Update since this audit was first run: </w:t>
            </w:r>
            <w:r>
              <w:rPr>
                <w:rFonts w:ascii="Segoe UI" w:cs="Segoe UI" w:eastAsia="Segoe UI" w:hAnsi="Segoe UI"/>
                <w:i/>
                <w:iCs/>
                <w:color w:val="7A5A1E"/>
                <w:sz w:val="17"/>
                <w:szCs w:val="17"/>
              </w:rPr>
              <w:t xml:space="preserve">Round 1 (Word-doc companions only): three of the findings below were fixed, as a proof-of-concept for what bringing a document into compliance actually looks like. (1) Token Lock's color list now includes the light-blue accent — the pattern-palette and background gaps noted below are still open. (2) All 3 role-narrative Word docs now display the canonical pattern legend directly above their composition table. (3) The one under-labeled convergence-gap mention in Talking Through Your Questions now carries an explicit "modeled, not observed" note. This round touched only the Word-doc companions and the rule text, never the live, published HTML. Round 2 (live HTML, WIP-wide): the font portion of the headline finding below has since been resolved — every WIP document now uses one shared, genuinely Word-compatible font stack (Georgia/Segoe UI/Consolas), and Rule 1 (Token Lock) has been rewritten to require it and rule out Google Fonts. What was still open after Round 2: the print-pipeline pages' point-based sizing and their live HTML not yet displaying a pattern legend. Round 3 (live HTML, the 3 role-narrative pages): that layout/type-scale half is now resolved too — CHRO, HRBP Manager, and Recruiter were rebuilt off their print-pipeline layout onto the standard site's own system (px-based Standing Type Scale, standard masthead/page chrome, and a live pattern legend), closing the headline finding and the Rule 2 and Rule 5 gaps below in one pass. Their Word and PDF exports were left untouched, keeping their own dedicated print layout matched to the rest of the framework on fonts and colors only.</w:t>
            </w:r>
          </w:p>
        </w:tc>
      </w:tr>
    </w:tbl>
    <w:p>
      <w:pPr>
        <w:spacing w:after="160"/>
      </w:pPr>
    </w:p>
    <w:p>
      <w:pPr>
        <w:pBdr>
          <w:bottom w:val="single" w:color="DDE3EE" w:sz="4" w:space="4"/>
        </w:pBdr>
        <w:spacing w:after="120" w:before="320"/>
      </w:pPr>
      <w:r>
        <w:rPr>
          <w:rFonts w:ascii="Segoe UI" w:cs="Segoe UI" w:eastAsia="Segoe UI" w:hAnsi="Segoe UI"/>
          <w:b/>
          <w:bCs/>
          <w:color w:val="0D2D4F"/>
          <w:sz w:val="21"/>
          <w:szCs w:val="21"/>
        </w:rPr>
        <w:t xml:space="preserve">Headline Finding: Two Design Systems Are Currently Coexisting</w:t>
      </w:r>
      <w:r>
        <w:rPr>
          <w:rFonts w:ascii="Segoe UI" w:cs="Segoe UI" w:eastAsia="Segoe UI" w:hAnsi="Segoe UI"/>
          <w:i/>
          <w:iCs/>
          <w:color w:val="888888"/>
          <w:sz w:val="14"/>
          <w:szCs w:val="14"/>
        </w:rPr>
        <w:t xml:space="preserve"> (as originally found — see Round 3 update above for what's since changed)</w:t>
      </w:r>
    </w:p>
    <w:p>
      <w:pPr>
        <w:spacing w:after="160"/>
      </w:pPr>
      <w:r>
        <w:rPr>
          <w:rFonts w:ascii="Segoe UI" w:cs="Segoe UI" w:eastAsia="Segoe UI" w:hAnsi="Segoe UI"/>
          <w:color w:val="444444"/>
          <w:sz w:val="18"/>
          <w:szCs w:val="18"/>
        </w:rPr>
        <w:t xml:space="preserve">The 3 role pattern-transition narratives (CHRO, HRBP Manager, Recruiter) were built for a print/PDF export pipeline and use a genuinely different system than the rest of the WIP hub: Segoe UI and Georgia instead of DM Sans/Playfair Display/DM Mono, point-based sizing instead of the standard px scale, no callout boxes, and no pattern legend anywhere on the page. The other 6 documents already follow the site's native HTML masthead system closely. This isn't a defect in either set — the print system was a deliberate, reasoned choice for a PDF export pipeline — but it means Token Lock and the Standing Type Scale, as currently worded, would need an explicit carve-out for print-oriented exhibit pages, or those 3 pages would need to be rebuilt onto the standard system. That's a real decision, not a bug to quietly fix. Since resolved on the font axis: Rule 1 now requires Segoe UI/Georgia/Consolas everywhere, so the WIP hub no longer has two font stacks, only two layout/scale conventions (print pt-based vs. standard px-based, with or without callouts and a live pattern legend). Since fully resolved: the decision was made — the 3 pages were rebuilt onto the standard system rather than carved out, so the WIP hub's live HTML now runs one design system throughout, at every layer. Their Word/PDF companions keep a separate, deliberate print layout, which was never the part of this finding in question.</w:t>
      </w:r>
    </w:p>
    <w:p>
      <w:pPr>
        <w:pBdr>
          <w:bottom w:val="single" w:color="DDE3EE" w:sz="4" w:space="4"/>
        </w:pBdr>
        <w:spacing w:after="120" w:before="320"/>
      </w:pPr>
      <w:r>
        <w:rPr>
          <w:rFonts w:ascii="Segoe UI" w:cs="Segoe UI" w:eastAsia="Segoe UI" w:hAnsi="Segoe UI"/>
          <w:b/>
          <w:bCs/>
          <w:color w:val="0D2D4F"/>
          <w:sz w:val="21"/>
          <w:szCs w:val="21"/>
        </w:rPr>
        <w:t xml:space="preserve">Rule-Gap Findings: the Rules Themselves Need a Small Fix</w:t>
      </w:r>
    </w:p>
    <w:p>
      <w:pPr>
        <w:spacing w:after="160"/>
      </w:pPr>
      <w:r>
        <w:rPr>
          <w:rFonts w:ascii="Segoe UI" w:cs="Segoe UI" w:eastAsia="Segoe UI" w:hAnsi="Segoe UI"/>
          <w:color w:val="444444"/>
          <w:sz w:val="18"/>
          <w:szCs w:val="18"/>
        </w:rPr>
        <w:t xml:space="preserve">Token Lock's written color list (navy, navy-d, navy-l, gray, light gray, border, amber, amber-bg) omitted several colors that are already in universal, load-bearing use across every document in the framework — not just these 9. As literally worded, the rule would flag nearly every page in the WIP hub, and the live site too. That's a sign the rule's list was incomplete, not that the content is wrong. One of the three has since been folded into the rule; two remain open: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5340"/>
        <w:gridCol w:w="2300"/>
      </w:tblGrid>
      <w:tr>
        <w:trPr>
          <w:cantSplit/>
          <w:tblHeader/>
        </w:trPr>
        <w:tc>
          <w:tcPr>
            <w:tcW w:type="dxa" w:w="24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Color</w:t>
            </w:r>
          </w:p>
        </w:tc>
        <w:tc>
          <w:tcPr>
            <w:tcW w:type="dxa" w:w="534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Where it's used</w:t>
            </w:r>
          </w:p>
        </w:tc>
        <w:tc>
          <w:tcPr>
            <w:tcW w:type="dxa" w:w="23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Status</w:t>
            </w:r>
          </w:p>
        </w:tc>
      </w:tr>
      <w:tr>
        <w:trPr>
          <w:cantSplit/>
        </w:trPr>
        <w:tc>
          <w:tcPr>
            <w:tcW w:type="dxa" w:w="24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Light-blue accent
(#9FC2EE / #9FC0E8)</w:t>
            </w:r>
          </w:p>
        </w:tc>
        <w:tc>
          <w:tcPr>
            <w:tcW w:type="dxa" w:w="5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Every masthead tagline and nav element across all 9 documents</w:t>
            </w:r>
          </w:p>
        </w:tc>
        <w:tc>
          <w:tcPr>
            <w:tcW w:type="dxa" w:w="2300"/>
            <w:tcBorders>
              <w:top w:val="single" w:color="DDE3EE" w:sz="2"/>
              <w:left w:val="single" w:color="DDE3EE" w:sz="2"/>
              <w:bottom w:val="single" w:color="DDE3EE" w:sz="2"/>
              <w:right w:val="single" w:color="DDE3EE" w:sz="2"/>
            </w:tcBorders>
            <w:tcMar>
              <w:top w:type="dxa" w:w="80"/>
              <w:left w:type="dxa" w:w="100"/>
              <w:bottom w:type="dxa" w:w="80"/>
              <w:right w:type="dxa" w:w="100"/>
            </w:tcMar>
            <w:vAlign w:val="top"/>
          </w:tcPr>
          <w:p>
            <w:r>
              <w:rPr>
                <w:rFonts w:ascii="Segoe UI" w:cs="Segoe UI" w:eastAsia="Segoe UI" w:hAnsi="Segoe UI"/>
                <w:b/>
                <w:bCs/>
                <w:caps/>
                <w:color w:val="0D2D4F"/>
                <w:sz w:val="14"/>
                <w:szCs w:val="14"/>
              </w:rPr>
              <w:t xml:space="preserve">FIXED</w:t>
            </w:r>
          </w:p>
          <w:p>
            <w:r>
              <w:rPr>
                <w:rFonts w:ascii="Segoe UI" w:cs="Segoe UI" w:eastAsia="Segoe UI" w:hAnsi="Segoe UI"/>
                <w:i/>
                <w:iCs/>
                <w:color w:val="888888"/>
                <w:sz w:val="14"/>
                <w:szCs w:val="14"/>
              </w:rPr>
              <w:t xml:space="preserve">— Rule 1 now explicitly lists it as locked</w:t>
            </w:r>
          </w:p>
        </w:tc>
      </w:tr>
      <w:tr>
        <w:trPr>
          <w:cantSplit/>
        </w:trPr>
        <w:tc>
          <w:tcPr>
            <w:tcW w:type="dxa" w:w="24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Five-pattern color palette</w:t>
            </w:r>
          </w:p>
        </w:tc>
        <w:tc>
          <w:tcPr>
            <w:tcW w:type="dxa" w:w="5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Decision / Knowledge / Document / Transaction / Exception, both box and text variants — already locked in as the dashboard’s standard, used throughout the role-narrative pages</w:t>
            </w:r>
          </w:p>
        </w:tc>
        <w:tc>
          <w:tcPr>
            <w:tcW w:type="dxa" w:w="2300"/>
            <w:tcBorders>
              <w:top w:val="single" w:color="DDE3EE" w:sz="2"/>
              <w:left w:val="single" w:color="DDE3EE" w:sz="2"/>
              <w:bottom w:val="single" w:color="DDE3EE" w:sz="2"/>
              <w:right w:val="single" w:color="DDE3EE" w:sz="2"/>
            </w:tcBorders>
            <w:tcMar>
              <w:top w:type="dxa" w:w="80"/>
              <w:left w:type="dxa" w:w="100"/>
              <w:bottom w:type="dxa" w:w="80"/>
              <w:right w:type="dxa" w:w="100"/>
            </w:tcMar>
            <w:vAlign w:val="top"/>
          </w:tcPr>
          <w:p>
            <w:r>
              <w:rPr>
                <w:rFonts w:ascii="Segoe UI" w:cs="Segoe UI" w:eastAsia="Segoe UI" w:hAnsi="Segoe UI"/>
                <w:b/>
                <w:bCs/>
                <w:caps/>
                <w:color w:val="0D2D4F"/>
                <w:sz w:val="14"/>
                <w:szCs w:val="14"/>
              </w:rPr>
              <w:t xml:space="preserve">OPEN</w:t>
            </w:r>
          </w:p>
        </w:tc>
      </w:tr>
      <w:tr>
        <w:trPr>
          <w:cantSplit/>
        </w:trPr>
        <w:tc>
          <w:tcPr>
            <w:tcW w:type="dxa" w:w="24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Page background
(#F4F6FB)</w:t>
            </w:r>
          </w:p>
        </w:tc>
        <w:tc>
          <w:tcPr>
            <w:tcW w:type="dxa" w:w="5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The standard body background on every one of these pages</w:t>
            </w:r>
          </w:p>
        </w:tc>
        <w:tc>
          <w:tcPr>
            <w:tcW w:type="dxa" w:w="2300"/>
            <w:tcBorders>
              <w:top w:val="single" w:color="DDE3EE" w:sz="2"/>
              <w:left w:val="single" w:color="DDE3EE" w:sz="2"/>
              <w:bottom w:val="single" w:color="DDE3EE" w:sz="2"/>
              <w:right w:val="single" w:color="DDE3EE" w:sz="2"/>
            </w:tcBorders>
            <w:tcMar>
              <w:top w:type="dxa" w:w="80"/>
              <w:left w:type="dxa" w:w="100"/>
              <w:bottom w:type="dxa" w:w="80"/>
              <w:right w:type="dxa" w:w="100"/>
            </w:tcMar>
            <w:vAlign w:val="top"/>
          </w:tcPr>
          <w:p>
            <w:r>
              <w:rPr>
                <w:rFonts w:ascii="Segoe UI" w:cs="Segoe UI" w:eastAsia="Segoe UI" w:hAnsi="Segoe UI"/>
                <w:b/>
                <w:bCs/>
                <w:caps/>
                <w:color w:val="0D2D4F"/>
                <w:sz w:val="14"/>
                <w:szCs w:val="14"/>
              </w:rPr>
              <w:t xml:space="preserve">OPEN</w:t>
            </w:r>
          </w:p>
        </w:tc>
      </w:tr>
    </w:tbl>
    <w:p>
      <w:pPr>
        <w:spacing w:after="120"/>
      </w:pPr>
    </w:p>
    <w:p>
      <w:pPr>
        <w:spacing w:after="200"/>
      </w:pPr>
      <w:r>
        <w:rPr>
          <w:rFonts w:ascii="Segoe UI" w:cs="Segoe UI" w:eastAsia="Segoe UI" w:hAnsi="Segoe UI"/>
          <w:i/>
          <w:iCs/>
          <w:color w:val="888888"/>
          <w:sz w:val="16"/>
          <w:szCs w:val="16"/>
        </w:rPr>
        <w:t xml:space="preserve">Remaining recommendation: extend Rule 1 to whitelist the pattern palette and the standard page background too, the same way the light-blue accent was just folded in — rather than leaving Token Lock in a state where compliant, well-established pages still read as violations.</w:t>
      </w:r>
    </w:p>
    <w:p>
      <w:pPr>
        <w:pBdr>
          <w:bottom w:val="single" w:color="DDE3EE" w:sz="4" w:space="4"/>
        </w:pBdr>
        <w:spacing w:after="120" w:before="320"/>
      </w:pPr>
      <w:r>
        <w:rPr>
          <w:rFonts w:ascii="Segoe UI" w:cs="Segoe UI" w:eastAsia="Segoe UI" w:hAnsi="Segoe UI"/>
          <w:b/>
          <w:bCs/>
          <w:color w:val="0D2D4F"/>
          <w:sz w:val="21"/>
          <w:szCs w:val="21"/>
        </w:rPr>
        <w:t xml:space="preserve">Visual System &amp; Hierarchy — 8 Rules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6340"/>
      </w:tblGrid>
      <w:tr>
        <w:trPr>
          <w:cantSplit/>
          <w:tblHeader/>
        </w:trPr>
        <w:tc>
          <w:tcPr>
            <w:tcW w:type="dxa" w:w="11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Verdict</w:t>
            </w:r>
          </w:p>
        </w:tc>
        <w:tc>
          <w:tcPr>
            <w:tcW w:type="dxa" w:w="26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Rule</w:t>
            </w:r>
          </w:p>
        </w:tc>
        <w:tc>
          <w:tcPr>
            <w:tcW w:type="dxa" w:w="634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Finding</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FIXED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1 — Token Lock</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The light-blue portion of the rule-gap finding above is fixed — Rule 1 explicitly lists it as locked. The font-stack mismatch is also fixed: every WIP document, print-pipeline and standard-site alike, now uses the same Word-compatible font set (Georgia/Segoe UI/Consolas), and Rule 1 itself now mandates this and rules out Google Fonts by name. The print-pipeline pages' pt-based sizing and missing live pattern legend — the last non-color piece of this finding — is also now fixed; see Rule 5 and Rule 2 below. Still open: the pattern-palette and background color gaps noted above.</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FIXED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2 — One Pattern Legend</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Fixed everywhere now: all 3 role-narrative Word docs already displayed the canonical pattern legend above their composition table, and the live HTML pages for all 3 roles now display the same legend too, rebuilt onto the standard system — the same fixed color-and-label mapping used by the live dashboard, on both formats.</w:t>
            </w:r>
          </w:p>
        </w:tc>
      </w:tr>
      <w:tr>
        <w:trPr>
          <w:cantSplit/>
        </w:trPr>
        <w:tc>
          <w:tcPr>
            <w:tcW w:type="dxa" w:w="1100"/>
            <w:tcBorders>
              <w:top w:val="single" w:color="DDE3EE" w:sz="2"/>
              <w:left w:val="single" w:color="DDE3EE" w:sz="2"/>
              <w:bottom w:val="single" w:color="DDE3EE" w:sz="2"/>
              <w:right w:val="single" w:color="DDE3EE" w:sz="2"/>
            </w:tcBorders>
            <w:shd w:fill="9FC2EE"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MIXED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3 — Extract the Load-Bearing Claim</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The role-narrative pages already do this reasonably well (bold exhibit headlines carry the finding). Talking Through Your Questions works through the ~21-point convergence-gap math in dense prose rather than a callout — a real candidate for extraction, though it's a working discussion draft rather than a polished deliverable.</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4 — Callout Budget</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No document exceeds 3. (An earlier automated pass mis-flagged Talking Through Your Questions at 8 by matching "callout-rule," a plain divider, as if it were a callout — corrected on inspection; its real count is 3, right at the limit.)</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FIXED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5 — Standing Type Scale as Default</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All 9 documents' live HTML now track the locked scale closely (H1 22–28px, H2 16–20px, body 13–14.5px) — the 3 role-narrative pages were rebuilt off their print-pipeline point-based sizing onto this same px scale, closing the last surviving piece of the headline finding. Their Word/PDF companions keep their own point-based print sizing, consistent with every other WIP docx/PDF export — this rule concerns live HTML pages specifically.</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6 — Protect the Signature Line</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"Where human judgment belongs" appears twice, both times as an isolated tagline element, never merged into a sentence.</w:t>
            </w:r>
          </w:p>
        </w:tc>
      </w:tr>
      <w:tr>
        <w:trPr>
          <w:cantSplit/>
        </w:trPr>
        <w:tc>
          <w:tcPr>
            <w:tcW w:type="dxa" w:w="1100"/>
            <w:tcBorders>
              <w:top w:val="single" w:color="DDE3EE" w:sz="2"/>
              <w:left w:val="single" w:color="DDE3EE" w:sz="2"/>
              <w:bottom w:val="single" w:color="DDE3EE" w:sz="2"/>
              <w:right w:val="single" w:color="DDE3EE" w:sz="2"/>
            </w:tcBorders>
            <w:shd w:fill="DDE3EE" w:val="clear"/>
            <w:tcMar>
              <w:top w:type="dxa" w:w="60"/>
              <w:left w:type="dxa" w:w="80"/>
              <w:bottom w:type="dxa" w:w="60"/>
              <w:right w:type="dxa" w:w="80"/>
            </w:tcMar>
            <w:vAlign w:val="center"/>
          </w:tcPr>
          <w:p>
            <w:pPr>
              <w:jc w:val="center"/>
            </w:pPr>
            <w:r>
              <w:rPr>
                <w:rFonts w:ascii="Segoe UI" w:cs="Segoe UI" w:eastAsia="Segoe UI" w:hAnsi="Segoe UI"/>
                <w:b/>
                <w:bCs/>
                <w:color w:val="888888"/>
                <w:sz w:val="12"/>
                <w:szCs w:val="12"/>
              </w:rPr>
              <w:t xml:space="preserve">N/A</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7 — The Executive Layer Never Replaces the Technical Layer</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None of these 9 documents are executive-summary/briefing content sitting alongside a technical source — this rule targets the CHRO-facing briefing series specifically, which isn’t part of the WIP set. Nothing to check here yet.</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FIXED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8 — Bottom-Align Column Headings</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Added this pass, from a real gap Tim caught in the WIP catalog’s own table. Every document with a real column-heading table now bottom-aligns its header text: the CHRO/HRBP Manager/Recruiter composition tables (docx only — their live HTML pattern-transition views are a treemap, not a literal table), From Concept to Principle’s and The Shock Wave Effect’s tables (both HTML and docx), and this audit’s own tables (both formats), plus the WIP catalog page itself. The three rules docs and Talking Through Your Questions have no column-heading tables to check.</w:t>
            </w:r>
          </w:p>
        </w:tc>
      </w:tr>
    </w:tbl>
    <w:p>
      <w:pPr>
        <w:spacing w:after="160"/>
      </w:pPr>
    </w:p>
    <w:p>
      <w:pPr>
        <w:pBdr>
          <w:bottom w:val="single" w:color="DDE3EE" w:sz="4" w:space="4"/>
        </w:pBdr>
        <w:spacing w:after="120" w:before="320"/>
      </w:pPr>
      <w:r>
        <w:rPr>
          <w:rFonts w:ascii="Segoe UI" w:cs="Segoe UI" w:eastAsia="Segoe UI" w:hAnsi="Segoe UI"/>
          <w:b/>
          <w:bCs/>
          <w:color w:val="0D2D4F"/>
          <w:sz w:val="21"/>
          <w:szCs w:val="21"/>
        </w:rPr>
        <w:t xml:space="preserve">Navigation &amp; Structure — 3 Rules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6340"/>
      </w:tblGrid>
      <w:tr>
        <w:trPr>
          <w:cantSplit/>
          <w:tblHeader/>
        </w:trPr>
        <w:tc>
          <w:tcPr>
            <w:tcW w:type="dxa" w:w="11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Verdict</w:t>
            </w:r>
          </w:p>
        </w:tc>
        <w:tc>
          <w:tcPr>
            <w:tcW w:type="dxa" w:w="26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Rule</w:t>
            </w:r>
          </w:p>
        </w:tc>
        <w:tc>
          <w:tcPr>
            <w:tcW w:type="dxa" w:w="634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Finding</w:t>
            </w:r>
          </w:p>
        </w:tc>
      </w:tr>
      <w:tr>
        <w:trPr>
          <w:cantSplit/>
        </w:trPr>
        <w:tc>
          <w:tcPr>
            <w:tcW w:type="dxa" w:w="1100"/>
            <w:tcBorders>
              <w:top w:val="single" w:color="DDE3EE" w:sz="2"/>
              <w:left w:val="single" w:color="DDE3EE" w:sz="2"/>
              <w:bottom w:val="single" w:color="DDE3EE" w:sz="2"/>
              <w:right w:val="single" w:color="DDE3EE" w:sz="2"/>
            </w:tcBorders>
            <w:shd w:fill="DDE3EE" w:val="clear"/>
            <w:tcMar>
              <w:top w:type="dxa" w:w="60"/>
              <w:left w:type="dxa" w:w="80"/>
              <w:bottom w:type="dxa" w:w="60"/>
              <w:right w:type="dxa" w:w="80"/>
            </w:tcMar>
            <w:vAlign w:val="center"/>
          </w:tcPr>
          <w:p>
            <w:pPr>
              <w:jc w:val="center"/>
            </w:pPr>
            <w:r>
              <w:rPr>
                <w:rFonts w:ascii="Segoe UI" w:cs="Segoe UI" w:eastAsia="Segoe UI" w:hAnsi="Segoe UI"/>
                <w:b/>
                <w:bCs/>
                <w:color w:val="888888"/>
                <w:sz w:val="12"/>
                <w:szCs w:val="12"/>
              </w:rPr>
              <w:t xml:space="preserve">N/A</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1 — Problem-First Entry Points, Additive</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This rule governs the site's primary navigation (docs/index.html), which is out of scope for a WIP-only pass — none of these 9 documents have their own independent top-level nav to check.</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2 — One Canonical Explanatory Sequence</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"Technology Capability → Work Design → Human Judgment → Accountability → Readiness" appears verbatim, in order, in the 2 documents that use it (the Navigation rules doc and Talking Through Your Questions) — no drift or paraphrase found. (Two other apparent hits, in The Shock Wave Effect and the Visual System rules doc, turned out to be coincidental reuse of single words — "Accountability" as a Shock Wave ring name, "Readiness" inside "Readiness Table" — not the sequence itself.)</w:t>
            </w:r>
          </w:p>
        </w:tc>
      </w:tr>
      <w:tr>
        <w:trPr>
          <w:cantSplit/>
        </w:trPr>
        <w:tc>
          <w:tcPr>
            <w:tcW w:type="dxa" w:w="1100"/>
            <w:tcBorders>
              <w:top w:val="single" w:color="DDE3EE" w:sz="2"/>
              <w:left w:val="single" w:color="DDE3EE" w:sz="2"/>
              <w:bottom w:val="single" w:color="DDE3EE" w:sz="2"/>
              <w:right w:val="single" w:color="DDE3EE" w:sz="2"/>
            </w:tcBorders>
            <w:shd w:fill="DDE3EE" w:val="clear"/>
            <w:tcMar>
              <w:top w:type="dxa" w:w="60"/>
              <w:left w:type="dxa" w:w="80"/>
              <w:bottom w:type="dxa" w:w="60"/>
              <w:right w:type="dxa" w:w="80"/>
            </w:tcMar>
            <w:vAlign w:val="center"/>
          </w:tcPr>
          <w:p>
            <w:pPr>
              <w:jc w:val="center"/>
            </w:pPr>
            <w:r>
              <w:rPr>
                <w:rFonts w:ascii="Segoe UI" w:cs="Segoe UI" w:eastAsia="Segoe UI" w:hAnsi="Segoe UI"/>
                <w:b/>
                <w:bCs/>
                <w:color w:val="888888"/>
                <w:sz w:val="12"/>
                <w:szCs w:val="12"/>
              </w:rPr>
              <w:t xml:space="preserve">N/A</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3 — Hierarchy Fix Not Redesign</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A process constraint on how navigation changes get evaluated, not a property existing content can be checked against.</w:t>
            </w:r>
          </w:p>
        </w:tc>
      </w:tr>
    </w:tbl>
    <w:p>
      <w:pPr>
        <w:spacing w:after="160"/>
      </w:pPr>
    </w:p>
    <w:p>
      <w:pPr>
        <w:pBdr>
          <w:bottom w:val="single" w:color="DDE3EE" w:sz="4" w:space="4"/>
        </w:pBdr>
        <w:spacing w:after="120" w:before="320"/>
      </w:pPr>
      <w:r>
        <w:rPr>
          <w:rFonts w:ascii="Segoe UI" w:cs="Segoe UI" w:eastAsia="Segoe UI" w:hAnsi="Segoe UI"/>
          <w:b/>
          <w:bCs/>
          <w:color w:val="0D2D4F"/>
          <w:sz w:val="21"/>
          <w:szCs w:val="21"/>
        </w:rPr>
        <w:t xml:space="preserve">Language &amp; Precision — 7 Rules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6340"/>
      </w:tblGrid>
      <w:tr>
        <w:trPr>
          <w:cantSplit/>
          <w:tblHeader/>
        </w:trPr>
        <w:tc>
          <w:tcPr>
            <w:tcW w:type="dxa" w:w="11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Verdict</w:t>
            </w:r>
          </w:p>
        </w:tc>
        <w:tc>
          <w:tcPr>
            <w:tcW w:type="dxa" w:w="26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Rule</w:t>
            </w:r>
          </w:p>
        </w:tc>
        <w:tc>
          <w:tcPr>
            <w:tcW w:type="dxa" w:w="634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Finding</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1 — Protect the Proven Lines</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Both protected lines appear only where quoted verbatim (inside the rules docs themselves, describing the rule) — no paraphrased or reworded variant found anywhere in scope.</w:t>
            </w:r>
          </w:p>
        </w:tc>
      </w:tr>
      <w:tr>
        <w:trPr>
          <w:cantSplit/>
        </w:trPr>
        <w:tc>
          <w:tcPr>
            <w:tcW w:type="dxa" w:w="1100"/>
            <w:tcBorders>
              <w:top w:val="single" w:color="DDE3EE" w:sz="2"/>
              <w:left w:val="single" w:color="DDE3EE" w:sz="2"/>
              <w:bottom w:val="single" w:color="DDE3EE" w:sz="2"/>
              <w:right w:val="single" w:color="DDE3EE" w:sz="2"/>
            </w:tcBorders>
            <w:shd w:fill="DDE3EE" w:val="clear"/>
            <w:tcMar>
              <w:top w:type="dxa" w:w="60"/>
              <w:left w:type="dxa" w:w="80"/>
              <w:bottom w:type="dxa" w:w="60"/>
              <w:right w:type="dxa" w:w="80"/>
            </w:tcMar>
            <w:vAlign w:val="center"/>
          </w:tcPr>
          <w:p>
            <w:pPr>
              <w:jc w:val="center"/>
            </w:pPr>
            <w:r>
              <w:rPr>
                <w:rFonts w:ascii="Segoe UI" w:cs="Segoe UI" w:eastAsia="Segoe UI" w:hAnsi="Segoe UI"/>
                <w:b/>
                <w:bCs/>
                <w:color w:val="888888"/>
                <w:sz w:val="12"/>
                <w:szCs w:val="12"/>
              </w:rPr>
              <w:t xml:space="preserve">N/A</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2 — Name the Organizational Framing Explicitly</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No introductory/overview section in this document set summarizes the framework from scratch — the phrase appears only inside the rules docs' own discussion of the rule.</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3 — Modeled vs. Observed, Always Labeled</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Fixed: the one "20–25" mention that sat outside the disclaimer’s reach — in the site-recommendations summary near the top of Talking Through Your Questions — now carries an explicit bracketed note pointing to the full "modeled, not observed" answer in Q2. Every convergence-gap mention in the document is labeled.</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4 — No Absolute Claims About Safety or Control</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Every appearance of "structurally impossible" / "nothing is a black box" in scope is the rules docs quoting the banned phrase as the example of what to avoid — zero instances of the framework actually making either claim.</w:t>
            </w:r>
          </w:p>
        </w:tc>
      </w:tr>
      <w:tr>
        <w:trPr>
          <w:cantSplit/>
        </w:trPr>
        <w:tc>
          <w:tcPr>
            <w:tcW w:type="dxa" w:w="1100"/>
            <w:tcBorders>
              <w:top w:val="single" w:color="DDE3EE" w:sz="2"/>
              <w:left w:val="single" w:color="DDE3EE" w:sz="2"/>
              <w:bottom w:val="single" w:color="DDE3EE" w:sz="2"/>
              <w:right w:val="single" w:color="DDE3EE" w:sz="2"/>
            </w:tcBorders>
            <w:shd w:fill="9FC2EE"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MIXED</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5 — H% Carries Its Disclaimer</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The disclaimer appears multiple times across Talking Through Your Questions, but several individual "H%" mentions inside its long methodology discussion sit outside a tight proximity window. The rule’s "displayed in isolation" framing fits a report figure better than a multi-paragraph discussion analyzing the metric itself — an applicability-boundary question worth naming, not a violation.</w:t>
            </w:r>
          </w:p>
        </w:tc>
      </w:tr>
      <w:tr>
        <w:trPr>
          <w:cantSplit/>
        </w:trPr>
        <w:tc>
          <w:tcPr>
            <w:tcW w:type="dxa" w:w="1100"/>
            <w:tcBorders>
              <w:top w:val="single" w:color="DDE3EE" w:sz="2"/>
              <w:left w:val="single" w:color="DDE3EE" w:sz="2"/>
              <w:bottom w:val="single" w:color="DDE3EE" w:sz="2"/>
              <w:right w:val="single" w:color="DDE3EE" w:sz="2"/>
            </w:tcBorders>
            <w:shd w:fill="EEF3FA" w:val="clear"/>
            <w:tcMar>
              <w:top w:type="dxa" w:w="60"/>
              <w:left w:type="dxa" w:w="80"/>
              <w:bottom w:type="dxa" w:w="60"/>
              <w:right w:type="dxa" w:w="80"/>
            </w:tcMar>
            <w:vAlign w:val="center"/>
          </w:tcPr>
          <w:p>
            <w:pPr>
              <w:jc w:val="center"/>
            </w:pPr>
            <w:r>
              <w:rPr>
                <w:rFonts w:ascii="Segoe UI" w:cs="Segoe UI" w:eastAsia="Segoe UI" w:hAnsi="Segoe UI"/>
                <w:b/>
                <w:bCs/>
                <w:color w:val="0D2D4F"/>
                <w:sz w:val="12"/>
                <w:szCs w:val="12"/>
              </w:rPr>
              <w:t xml:space="preserve">CLEAN</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6 — "Designed," Not "Optimal," Unless Earned</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Every "optimal" in scope appears only inside the rules docs’ own discussion of the rule — no document in this set actually describes a maturity target as "optimal." (Live-site usage, e.g. on hitl_methodology.html, is out of scope for this pass.)</w:t>
            </w:r>
          </w:p>
        </w:tc>
      </w:tr>
      <w:tr>
        <w:trPr>
          <w:cantSplit/>
        </w:trPr>
        <w:tc>
          <w:tcPr>
            <w:tcW w:type="dxa" w:w="1100"/>
            <w:tcBorders>
              <w:top w:val="single" w:color="DDE3EE" w:sz="2"/>
              <w:left w:val="single" w:color="DDE3EE" w:sz="2"/>
              <w:bottom w:val="single" w:color="DDE3EE" w:sz="2"/>
              <w:right w:val="single" w:color="DDE3EE" w:sz="2"/>
            </w:tcBorders>
            <w:shd w:fill="DDE3EE" w:val="clear"/>
            <w:tcMar>
              <w:top w:type="dxa" w:w="60"/>
              <w:left w:type="dxa" w:w="80"/>
              <w:bottom w:type="dxa" w:w="60"/>
              <w:right w:type="dxa" w:w="80"/>
            </w:tcMar>
            <w:vAlign w:val="center"/>
          </w:tcPr>
          <w:p>
            <w:pPr>
              <w:jc w:val="center"/>
            </w:pPr>
            <w:r>
              <w:rPr>
                <w:rFonts w:ascii="Segoe UI" w:cs="Segoe UI" w:eastAsia="Segoe UI" w:hAnsi="Segoe UI"/>
                <w:b/>
                <w:bCs/>
                <w:color w:val="888888"/>
                <w:sz w:val="12"/>
                <w:szCs w:val="12"/>
              </w:rPr>
              <w:t xml:space="preserve">N/A</w:t>
            </w:r>
          </w:p>
        </w:tc>
        <w:tc>
          <w:tcPr>
            <w:tcW w:type="dxa" w:w="26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0D2D4F"/>
                <w:sz w:val="16"/>
                <w:szCs w:val="16"/>
              </w:rPr>
              <w:t xml:space="preserve">Rule 7 — Frame HAL as Origin Story, Not Operating Target</w:t>
            </w:r>
          </w:p>
        </w:tc>
        <w:tc>
          <w:tcPr>
            <w:tcW w:type="dxa" w:w="63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Every HAL mention in scope is the rules docs discussing the rule itself — none of these 9 documents contain an actual HAL example to frame one way or the other yet.</w:t>
            </w:r>
          </w:p>
        </w:tc>
      </w:tr>
    </w:tbl>
    <w:p>
      <w:pPr>
        <w:spacing w:after="160"/>
      </w:pPr>
    </w:p>
    <w:p>
      <w:pPr>
        <w:pBdr>
          <w:bottom w:val="single" w:color="DDE3EE" w:sz="4" w:space="4"/>
        </w:pBdr>
        <w:spacing w:after="120" w:before="320"/>
      </w:pPr>
      <w:r>
        <w:rPr>
          <w:rFonts w:ascii="Segoe UI" w:cs="Segoe UI" w:eastAsia="Segoe UI" w:hAnsi="Segoe UI"/>
          <w:b/>
          <w:bCs/>
          <w:color w:val="0D2D4F"/>
          <w:sz w:val="21"/>
          <w:szCs w:val="21"/>
        </w:rPr>
        <w:t xml:space="preserve">Per-Document Snapshot</w:t>
      </w:r>
    </w:p>
    <w:p>
      <w:pPr>
        <w:spacing w:after="120"/>
      </w:pPr>
      <w:r>
        <w:rPr>
          <w:rFonts w:ascii="Segoe UI" w:cs="Segoe UI" w:eastAsia="Segoe UI" w:hAnsi="Segoe UI"/>
          <w:i/>
          <w:iCs/>
          <w:color w:val="888888"/>
          <w:sz w:val="14"/>
          <w:szCs w:val="14"/>
        </w:rPr>
        <w:t xml:space="preserve">All 9 documents' live HTML now share one font stack, one page-layout convention, and one type scale (Georgia/Segoe UI/Consolas and px-based Standing Type Scale, per Rule 1 and Rule 5) — the "Design system" column below is now uniform; the one remaining place a distinct system survives is the 3 role-narrative pages' own Word/PDF exports, kept as a deliberate print layout.</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940"/>
      </w:tblGrid>
      <w:tr>
        <w:trPr>
          <w:cantSplit/>
          <w:tblHeader/>
        </w:trPr>
        <w:tc>
          <w:tcPr>
            <w:tcW w:type="dxa" w:w="32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Document</w:t>
            </w:r>
          </w:p>
        </w:tc>
        <w:tc>
          <w:tcPr>
            <w:tcW w:type="dxa" w:w="290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Design system</w:t>
            </w:r>
          </w:p>
        </w:tc>
        <w:tc>
          <w:tcPr>
            <w:tcW w:type="dxa" w:w="3940"/>
            <w:tcBorders>
              <w:top w:val="single" w:color="1B4F8A" w:sz="2"/>
              <w:left w:val="single" w:color="1B4F8A" w:sz="2"/>
              <w:bottom w:val="single" w:color="1B4F8A" w:sz="2"/>
              <w:right w:val="single" w:color="1B4F8A" w:sz="2"/>
            </w:tcBorders>
            <w:shd w:fill="1B4F8A" w:val="clear"/>
            <w:tcMar>
              <w:top w:type="dxa" w:w="90"/>
              <w:left w:type="dxa" w:w="100"/>
              <w:bottom w:type="dxa" w:w="90"/>
              <w:right w:type="dxa" w:w="100"/>
            </w:tcMar>
            <w:vAlign w:val="bottom"/>
          </w:tcPr>
          <w:p>
            <w:r>
              <w:rPr>
                <w:rFonts w:ascii="Segoe UI" w:cs="Segoe UI" w:eastAsia="Segoe UI" w:hAnsi="Segoe UI"/>
                <w:b/>
                <w:bCs/>
                <w:caps/>
                <w:color w:val="FFFFFF"/>
                <w:sz w:val="12"/>
                <w:szCs w:val="12"/>
              </w:rPr>
              <w:t xml:space="preserve">Notable finding(s)</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CHRO — Pattern Transition Narrative</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Live HTML rebuilt onto the standard system; pattern legend included. Word/PDF export keeps its own dedicated print layout (Segoe UI/Georgia, pt-based)</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HRBP Manager — Pattern Transition Narrative</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Same as CHRO</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Recruiter — Pattern Transition Narrative</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Same as CHRO</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The Shock Wave Effect</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Callout budget 2/3; type scale compliant</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From Concept to Principle</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Callout budget 2/3; type scale compliant</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Visual System &amp; Hierarchy rules</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Callout budget 1/3; contains the HAL/optimal/canonical-sequence mentions that are examples, not violations</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Navigation &amp; Structure rules</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Only document where the canonical sequence appears both verbatim and on-topic</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Language &amp; Precision rules</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Contains every "banned phrase" hit — all of them the rule quoting its own example</w:t>
            </w:r>
          </w:p>
        </w:tc>
      </w:tr>
      <w:tr>
        <w:trPr>
          <w:cantSplit/>
        </w:trPr>
        <w:tc>
          <w:tcPr>
            <w:tcW w:type="dxa" w:w="32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bCs/>
                <w:i w:val="false"/>
                <w:iCs w:val="false"/>
                <w:color w:val="1B4F8A"/>
                <w:sz w:val="16"/>
                <w:szCs w:val="16"/>
              </w:rPr>
              <w:t xml:space="preserve">Talking Through Your Questions</w:t>
            </w:r>
          </w:p>
        </w:tc>
        <w:tc>
          <w:tcPr>
            <w:tcW w:type="dxa" w:w="290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Standard site layout (px-based, Standing Type Scale)</w:t>
            </w:r>
          </w:p>
        </w:tc>
        <w:tc>
          <w:tcPr>
            <w:tcW w:type="dxa" w:w="3940"/>
            <w:tcBorders>
              <w:top w:val="single" w:color="DDE3EE" w:sz="2"/>
              <w:left w:val="single" w:color="DDE3EE" w:sz="2"/>
              <w:bottom w:val="single" w:color="DDE3EE" w:sz="2"/>
              <w:right w:val="single" w:color="DDE3EE" w:sz="2"/>
            </w:tcBorders>
            <w:shd w:fill="FFFFFF" w:val="clear"/>
            <w:tcMar>
              <w:top w:type="dxa" w:w="80"/>
              <w:left w:type="dxa" w:w="100"/>
              <w:bottom w:type="dxa" w:w="80"/>
              <w:right w:type="dxa" w:w="100"/>
            </w:tcMar>
            <w:vAlign w:val="top"/>
          </w:tcPr>
          <w:p>
            <w:r>
              <w:rPr>
                <w:rFonts w:ascii="Segoe UI" w:cs="Segoe UI" w:eastAsia="Segoe UI" w:hAnsi="Segoe UI"/>
                <w:b w:val="false"/>
                <w:bCs w:val="false"/>
                <w:i w:val="false"/>
                <w:iCs w:val="false"/>
                <w:color w:val="222222"/>
                <w:sz w:val="16"/>
                <w:szCs w:val="16"/>
              </w:rPr>
              <w:t xml:space="preserve">Callout budget exactly 3/3 (at the limit); richest H%/modeled-vs-observed discussion in scope</w:t>
            </w:r>
          </w:p>
        </w:tc>
      </w:tr>
    </w:tbl>
    <w:p>
      <w:pPr>
        <w:spacing w:after="160"/>
      </w:pPr>
    </w:p>
    <w:p>
      <w:pPr>
        <w:pBdr>
          <w:bottom w:val="single" w:color="DDE3EE" w:sz="4" w:space="4"/>
        </w:pBdr>
        <w:spacing w:after="120" w:before="320"/>
      </w:pPr>
      <w:r>
        <w:rPr>
          <w:rFonts w:ascii="Segoe UI" w:cs="Segoe UI" w:eastAsia="Segoe UI" w:hAnsi="Segoe UI"/>
          <w:b/>
          <w:bCs/>
          <w:color w:val="0D2D4F"/>
          <w:sz w:val="21"/>
          <w:szCs w:val="21"/>
        </w:rPr>
        <w:t xml:space="preserve">What This Means for the Feasibility Review</w:t>
      </w:r>
    </w:p>
    <w:p>
      <w:pPr>
        <w:spacing w:after="160"/>
      </w:pPr>
      <w:r>
        <w:rPr>
          <w:rFonts w:ascii="Segoe UI" w:cs="Segoe UI" w:eastAsia="Segoe UI" w:hAnsi="Segoe UI"/>
          <w:color w:val="444444"/>
          <w:sz w:val="18"/>
          <w:szCs w:val="18"/>
        </w:rPr>
        <w:t xml:space="preserve">Taken together: none of the 18 rules turned up a real violation inside this document set. What the pass did surface is more useful than a clean bill of health would have been — a concrete color-list gap in Rule 1 (now fixed), a real fixable content gap in Rule 2 (now fixed), and a real, structural question (what to do about the print-system pages) that was worth deciding deliberately rather than discovering later once more print-oriented pages exist. That structural question has since been resolved: the 3 role-narrative pages were rebuilt onto the standard system rather than carved out, closing the two-design-systems finding entirely. All of this is good, specific material for the actual Feasibility Review conversation with GiGi, and none of it required rewriting anything to find.</w:t>
      </w:r>
    </w:p>
    <w:p>
      <w:pPr>
        <w:spacing w:after="160"/>
      </w:pPr>
      <w:r>
        <w:rPr>
          <w:rFonts w:ascii="Segoe UI" w:cs="Segoe UI" w:eastAsia="Segoe UI" w:hAnsi="Segoe UI"/>
          <w:color w:val="444444"/>
          <w:sz w:val="18"/>
          <w:szCs w:val="18"/>
        </w:rPr>
        <w:t xml:space="preserve">Three remediation rounds followed this audit. Round 1 was a proof-of-concept for what compliance actually looks like once a gap is confirmed real: the light-blue accent was folded into Rule 1, all 3 role-narrative Word docs got the canonical pattern legend, and the one under-labeled convergence-gap mention was tightened — all three fixes stayed inside the Word-doc companions and the rule text itself, nothing on the live, published framework was touched. Round 2 went further and did touch the live HTML: every WIP document was moved onto one shared, genuinely Word-compatible font stack (Georgia/Segoe UI/Consolas, no Google Fonts), and Rule 1 was rewritten to require it. Round 3 went further still: the 3 role-narrative pages were rebuilt off their print-pipeline layout onto the standard system entirely — px-based Standing Type Scale, standard page chrome, and a live pattern legend — closing the headline finding and the Rule 2 and Rule 5 gaps in one pass. Their Word/PDF exports were left untouched, keeping their own dedicated print layout matched to the rest of the framework on fonts and colors only. All three rounds stayed inside the WIP hub — nothing on the live, published framework was touched by any of them.</w:t>
      </w:r>
    </w:p>
    <w:p>
      <w:pPr>
        <w:spacing w:after="160"/>
      </w:pPr>
      <w:r>
        <w:rPr>
          <w:rFonts w:ascii="Segoe UI" w:cs="Segoe UI" w:eastAsia="Segoe UI" w:hAnsi="Segoe UI"/>
          <w:color w:val="444444"/>
          <w:sz w:val="18"/>
          <w:szCs w:val="18"/>
        </w:rPr>
        <w:t xml:space="preserve">Next step, per the staged approach: once the rules themselves move past Concept and both Tim and GiGi approve them, the same treatment extends to the live framework itself — every published HTML page, not just these 9 WIP documents. With the WIP hub now internally consistent on fonts, colors, and layout, that next step is squarely the one open question Rule 1's own example note already names: the live dashboard and docs site still run the original Google-Fonts-based type system, and extending Word-compatible-only fonts (and the standard type scale) there remains a separate, not-yet-made decision — not something this pass touched. This POC pass already shows what that full audit would look like: run the same 18 rules against the whole site, confirm each hit by hand before calling it a violation, and fix only what's real.</w:t>
      </w:r>
    </w:p>
    <w:p>
      <w:pPr>
        <w:spacing w:after="260" w:before="60"/>
      </w:pPr>
      <w:r>
        <w:rPr>
          <w:rFonts w:ascii="Segoe UI" w:cs="Segoe UI" w:eastAsia="Segoe UI" w:hAnsi="Segoe UI"/>
          <w:i/>
          <w:iCs/>
          <w:color w:val="888888"/>
          <w:sz w:val="15"/>
          <w:szCs w:val="15"/>
        </w:rPr>
        <w:t xml:space="preserve">A matching HTML page for this report lives in the WIP hub (docs/wip/content_rules_compliance_audit_wip_pass.html).</w:t>
      </w:r>
    </w:p>
    <w:p>
      <w:pPr>
        <w:pBdr>
          <w:top w:val="single" w:color="DDE3EE" w:sz="4" w:space="8"/>
        </w:pBdr>
        <w:spacing w:before="100"/>
        <w:jc w:val="center"/>
      </w:pPr>
      <w:r>
        <w:rPr>
          <w:rFonts w:ascii="Segoe UI" w:cs="Segoe UI" w:eastAsia="Segoe UI" w:hAnsi="Segoe UI"/>
          <w:color w:val="888888"/>
          <w:sz w:val="14"/>
          <w:szCs w:val="14"/>
        </w:rPr>
        <w:t xml:space="preserve">Diagnostic pass — nothing rewritten</w:t>
      </w:r>
    </w:p>
    <w:p>
      <w:pPr>
        <w:jc w:val="center"/>
      </w:pPr>
      <w:r>
        <w:rPr>
          <w:rFonts w:ascii="Segoe UI" w:cs="Segoe UI" w:eastAsia="Segoe UI" w:hAnsi="Segoe UI"/>
          <w:color w:val="888888"/>
          <w:sz w:val="14"/>
          <w:szCs w:val="14"/>
        </w:rPr>
        <w:t xml:space="preserve">HITL-Driven Architecture · developed with the assistance of Claude (Anthropic) · September 2026</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2026-09-06T11:40:34.684Z</dcterms:created>
  <dcterms:modified xsi:type="dcterms:W3CDTF">2026-09-06T11:40:34.684Z</dcterms:modified>
</cp:coreProperties>
</file>

<file path=docProps/custom.xml><?xml version="1.0" encoding="utf-8"?>
<Properties xmlns="http://schemas.openxmlformats.org/officeDocument/2006/custom-properties" xmlns:vt="http://schemas.openxmlformats.org/officeDocument/2006/docPropsVTypes"/>
</file>