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shd w:fill="0D2D4F" w:val="clear"/>
            <w:tcMar>
              <w:top w:type="dxa" w:w="340"/>
              <w:left w:type="dxa" w:w="400"/>
              <w:bottom w:type="dxa" w:w="320"/>
              <w:right w:type="dxa" w:w="400"/>
            </w:tcMar>
            <w:vAlign w:val="center"/>
          </w:tcPr>
          <w:p>
            <w:pPr>
              <w:spacing w:after="110" w:before="0"/>
              <w:jc w:val="center"/>
            </w:pPr>
            <w:r>
              <w:rPr>
                <w:rFonts w:ascii="DM Mono" w:cs="DM Mono" w:eastAsia="DM Mono" w:hAnsi="DM Mono"/>
                <w:b w:val="false"/>
                <w:bCs w:val="false"/>
                <w:i w:val="false"/>
                <w:iCs w:val="false"/>
                <w:color w:val="9FC2EE"/>
                <w:sz w:val="17"/>
                <w:szCs w:val="17"/>
              </w:rPr>
              <w:t xml:space="preserve">CONCEPT — FOR JOINT REVIEW  ·  TIM KING &amp; GIGI GARCIA  ·  SEPTEMBER 2026</w:t>
            </w:r>
          </w:p>
          <w:p>
            <w:pPr>
              <w:spacing w:after="4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 w:val="false"/>
                <w:iCs w:val="false"/>
                <w:color w:val="FFFFFF"/>
                <w:sz w:val="36"/>
                <w:szCs w:val="36"/>
              </w:rPr>
              <w:t xml:space="preserve">Framework Content Generation Rules</w:t>
            </w:r>
          </w:p>
          <w:p>
            <w:pPr>
              <w:spacing w:after="110" w:before="0"/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i/>
                <w:iCs/>
                <w:color w:val="9FC2EE"/>
                <w:sz w:val="24"/>
                <w:szCs w:val="24"/>
              </w:rPr>
              <w:t xml:space="preserve">Navigation &amp; Structure</w:t>
            </w:r>
          </w:p>
          <w:p>
            <w:pPr>
              <w:spacing w:after="0" w:before="0"/>
              <w:jc w:val="center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9FC2EE"/>
                <w:sz w:val="20"/>
                <w:szCs w:val="20"/>
              </w:rPr>
              <w:t xml:space="preserve">Formal, checkable rules — derived from GiGi’s own site recommendations — meant to bind any future generator of framework content, human or AI-authored.</w:t>
            </w:r>
          </w:p>
        </w:tc>
      </w:tr>
    </w:tbl>
    <w:p>
      <w:pPr>
        <w:spacing w:after="160" w:before="220"/>
      </w:pPr>
    </w:p>
    <w:tbl>
      <w:tblPr>
        <w:tblW w:type="dxa" w:w="10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40"/>
      </w:tblGrid>
      <w:tr>
        <w:tc>
          <w:tcPr>
            <w:tcW w:type="dxa" w:w="10040"/>
            <w:tcBorders>
              <w:top w:val="none" w:color="FFFFFF" w:sz="0"/>
              <w:left w:val="single" w:color="B8873F" w:sz="24"/>
              <w:bottom w:val="none" w:color="FFFFFF" w:sz="0"/>
              <w:right w:val="none" w:color="FFFFFF" w:sz="0"/>
            </w:tcBorders>
            <w:shd w:fill="FEF3C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/>
            </w:pPr>
            <w:r>
              <w:rPr>
                <w:rFonts w:ascii="DM Sans" w:cs="DM Sans" w:eastAsia="DM Sans" w:hAnsi="DM Sans"/>
                <w:b w:val="false"/>
                <w:bCs w:val="false"/>
                <w:i/>
                <w:iCs/>
                <w:color w:val="7A5A1E"/>
                <w:sz w:val="19"/>
                <w:szCs w:val="19"/>
              </w:rPr>
              <w:t xml:space="preserve">Concept stage — not yet part of the framework. Per the Concept → Feasibility Review → Approved lifecycle established in From Concept to Principle, this is Claude’s feasibility pass only. Nothing here binds any actual content generation until both Tim and GiGi approve it.</w:t>
            </w:r>
          </w:p>
        </w:tc>
      </w:tr>
    </w:tbl>
    <w:p>
      <w:pPr>
        <w:spacing w:after="10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These three rules turn the three "Navigation &amp; structure" recommendations from GiGi’s review notes into something checkable — not just a style preference, but a set of constraints a content generator (Claude, building a new page or document) can actually be held to. Each rule names what it requires, what it applies to, and, where useful, points at a real page or decision already in the framework that shows the rule in action or in violation.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1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Problem-First Entry Points, Additive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Primary navigation offers at least one problem-framed entry point — "I am a CHRO — show me HR," "I am a CFO — show me Finance," "I am redesigning a role — show me Role Transition," "I want to understand AI readiness — show me Maturity" — alongside, never instead of, the existing structural/taxonomy navigation. A generator building a new landing surface includes a problem-first path into the content; it does not remove or bury the structural path to make room for it.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The docs site’s primary landing/navigation surface; any new top-level page.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Right now the site invites a visitor to "study the architecture" first — the fix adds a second door in, it doesn’t replace the first one.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2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One Canonical Explanatory Sequence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The five-step sequence — Technology Capability → Work Design → Human Judgment → Accountability → Readiness — is the framework’s single canonical "explain it in a few seconds" statement. It appears verbatim, in this order, wherever the site attempts to summarize the whole framework in one line. A generator does not paraphrase, reorder, or invent a competing summary sequence.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The site’s homepage/landing hero, the About page, any executive briefing or summary card.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The same line already got the boxed step-flow treatment in the Talking Through Your Questions document — this rule makes that the one and only version, not a first draft of several.</w:t>
      </w:r>
    </w:p>
    <w:p>
      <w:pPr>
        <w:spacing w:after="60" w:before="260"/>
      </w:pPr>
      <w:r>
        <w:rPr>
          <w:rFonts w:ascii="DM Mono" w:cs="DM Mono" w:eastAsia="DM Mono" w:hAnsi="DM Mono"/>
          <w:b/>
          <w:bCs/>
          <w:color w:val="1B4F8A"/>
          <w:sz w:val="16"/>
          <w:szCs w:val="16"/>
          <w:shd w:fill="EEF3FA" w:val="clear"/>
        </w:rPr>
        <w:t xml:space="preserve"> RULE 3 </w:t>
      </w:r>
      <w:r>
        <w:rPr>
          <w:sz w:val="16"/>
          <w:szCs w:val="16"/>
        </w:rPr>
        <w:t xml:space="preserve">   </w:t>
      </w:r>
      <w:r>
        <w:rPr>
          <w:rFonts w:ascii="Playfair Display" w:cs="Playfair Display" w:eastAsia="Playfair Display" w:hAnsi="Playfair Display"/>
          <w:b/>
          <w:bCs/>
          <w:color w:val="0D2D4F"/>
          <w:sz w:val="23"/>
          <w:szCs w:val="23"/>
        </w:rPr>
        <w:t xml:space="preserve">Hierarchy Fix, Not Redesign</w:t>
      </w:r>
    </w:p>
    <w:p>
      <w:pPr>
        <w:spacing w:after="6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Navigation and structure changes are evaluated first as hierarchy and information-architecture adjustments — reordering, re-labeling, re-emphasizing what already exists — tested against whether a first-time CHRO or CFO reader would know what to click. A full visual redesign, or a new page type built from a blank layout, is out of scope for a navigation fix and requires its own separate proposal.</w:t>
      </w:r>
    </w:p>
    <w:p>
      <w:pPr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1B4F8A"/>
          <w:sz w:val="18"/>
          <w:szCs w:val="18"/>
        </w:rPr>
        <w:t xml:space="preserve">Applies to: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888888"/>
          <w:sz w:val="18"/>
          <w:szCs w:val="18"/>
        </w:rPr>
        <w:t xml:space="preserve">Any navigation or information-architecture change to the docs site or dashboard.</w:t>
      </w:r>
    </w:p>
    <w:p>
      <w:pPr>
        <w:spacing w:after="20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888888"/>
          <w:sz w:val="18"/>
          <w:szCs w:val="18"/>
        </w:rPr>
        <w:t xml:space="preserve">GiGi’s own framing, kept as the rule’s test: "the foundation is strong; the fix is hierarchy, not a redesign."</w:t>
      </w:r>
    </w:p>
    <w:p>
      <w:pPr>
        <w:pBdr>
          <w:bottom w:val="single" w:color="DDE3EE" w:sz="4" w:space="1"/>
        </w:pBdr>
        <w:spacing w:after="100" w:before="100"/>
      </w:pPr>
    </w:p>
    <w:p>
      <w:pPr>
        <w:spacing w:after="19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444444"/>
          <w:sz w:val="20"/>
          <w:szCs w:val="20"/>
        </w:rPr>
        <w:t xml:space="preserve">If these three are approved, the same treatment — specific, checkable rules rather than general advice — would follow for Language &amp; Precision next, completing the set drawn from GiGi’s full site-recommendations summary.</w:t>
      </w:r>
    </w:p>
    <w:sectPr>
      <w:footerReference w:type="default" r:id="rId7"/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E3EE" w:sz="4" w:space="6"/>
      </w:pBdr>
      <w:jc w:val="center"/>
    </w:pPr>
    <w:r>
      <w:rPr>
        <w:rFonts w:ascii="DM Sans" w:cs="DM Sans" w:eastAsia="DM Sans" w:hAnsi="DM Sans"/>
        <w:b w:val="false"/>
        <w:bCs w:val="false"/>
        <w:i w:val="false"/>
        <w:iCs w:val="false"/>
        <w:color w:val="888888"/>
        <w:sz w:val="17"/>
        <w:szCs w:val="17"/>
      </w:rPr>
      <w:t xml:space="preserve">For joint review — Tim King and GiGi Garcia  ·  © Timothy P. King 2026 · developed with the assistance of Claude (Anthropic)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2026-09-05T17:49:03.106Z</dcterms:created>
  <dcterms:modified xsi:type="dcterms:W3CDTF">2026-09-05T17:49:03.121Z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