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Change-to-Deploy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PCF 8.6 — Plan, control &amp; release changes — Value Stream Profile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This value stream comprises one APQC PCF process group: 8.6 Deploy Services/Solutions — spanning 5 Level 3 processes and 36 Level 4 activities.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At the activity level, this value stream's work breaks down as 17 Transaction activities (rules-based processing suited to automation), 11 Knowledge activities (judgment, synthesis, and interpretation-driven work), 6 Document activities (content generation), and 2 Decision activities (judgment-and-authority gates that stay human by design). No Exception-pattern activity exists within this value stream.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the value stream's aggregate human-involvement ratio is 48%, down from a 72% undesigned baseline — the steepest AI convergence opportunity of any PCF 8.0 value stream at 24 points.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8"/>
        <w:gridCol w:w="2008"/>
        <w:gridCol w:w="2008"/>
        <w:gridCol w:w="2008"/>
        <w:gridCol w:w="2008"/>
      </w:tblGrid>
      <w:tr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36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72%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48%</w:t>
            </w:r>
          </w:p>
        </w:tc>
        <w:tc>
          <w:tcPr>
            <w:tcW w:type="pct" w:w="20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2"/>
                <w:szCs w:val="12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-24%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KPIs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30"/>
        <w:gridCol w:w="2510"/>
      </w:tblGrid>
      <w:tr>
        <w:trPr>
          <w:tblHeader/>
        </w:trPr>
        <w:tc>
          <w:tcPr>
            <w:tcW w:type="pct" w:w="7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Business Impact Metric &amp; Formula (where confirmed)</w:t>
            </w:r>
          </w:p>
        </w:tc>
        <w:tc>
          <w:tcPr>
            <w:tcW w:type="pct" w:w="2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Source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Change Failure Rate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Deployments causing a service degradation or requiring remediation ÷ total deployments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DORA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Mean Time to Recovery (MTTR)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Average time to restore service following a failed change or deployment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DORA</w:t>
            </w:r>
          </w:p>
        </w:tc>
      </w:tr>
      <w:tr>
        <w:tc>
          <w:tcPr>
            <w:tcW w:type="pct" w:w="7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444444"/>
                <w:sz w:val="15"/>
                <w:szCs w:val="15"/>
              </w:rPr>
              <w:t xml:space="preserve">Change Success Rate</w:t>
            </w:r>
          </w:p>
          <w:p>
            <w:r>
              <w:rPr>
                <w:i/>
                <w:iCs/>
                <w:color w:val="888888"/>
                <w:sz w:val="13"/>
                <w:szCs w:val="13"/>
              </w:rPr>
              <w:t xml:space="preserve">Changes implemented successfully without rollback or incident on first attempt ÷ total changes</w:t>
            </w:r>
          </w:p>
        </w:tc>
        <w:tc>
          <w:tcPr>
            <w:tcW w:type="pct" w:w="2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888888"/>
                <w:sz w:val="14"/>
                <w:szCs w:val="14"/>
              </w:rPr>
              <w:t xml:space="preserve">ITIL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Design Narrative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Change-to-Deploy is IT Service Manager's second-largest lane in the domain: Accountable for 3 of 5 L3s — deployment strategy (8.6.1), implementation planning (8.6.2), and change deployment control itself (8.6.3) — textbook ITIL Change Management, the role's core mandate. DevOps Engineer holds Accountable for solution implementation (8.6.4), a pure-execution L3 that shifts from governance to hands-on deployment, and IT Support Specialist closes the stream with rollout (8.6.5) — training, communications, and end-user-facing rollout support rather than technical deployment. This value stream carries both PCF 8.0's steepest AI-absorption gap (24 points, the domain's largest) and its highest concentration of Transaction-pattern work (17 of 36 activities), reflecting how much of change/release management is procedural once the deployment decision itself is made. Its steepest single-activity gap sits in 8.6.1.3 (Define and create deployment procedure workflow, Document-pattern, -32 points).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AI Capability Map</w:t>
      </w:r>
    </w:p>
    <w:p>
      <w:pPr>
        <w:spacing w:after="120"/>
      </w:pPr>
      <w:r>
        <w:rPr>
          <w:color w:val="888888"/>
          <w:sz w:val="14"/>
          <w:szCs w:val="14"/>
        </w:rPr>
        <w:t xml:space="preserve">Pattern-type distribution across this value stream's activity units. H% figures are the pattern type's standard value at each maturity level, applied consistently across all PCF domains.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00"/>
        <w:gridCol w:w="1928"/>
        <w:gridCol w:w="100"/>
        <w:gridCol w:w="1928"/>
        <w:gridCol w:w="100"/>
        <w:gridCol w:w="1928"/>
        <w:gridCol w:w="100"/>
        <w:gridCol w:w="1928"/>
      </w:tblGrid>
      <w:tr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B4F8A"/>
                <w:sz w:val="15"/>
                <w:szCs w:val="15"/>
              </w:rPr>
              <w:t xml:space="preserve">Decision</w:t>
            </w:r>
          </w:p>
          <w:p>
            <w:pPr>
              <w:spacing w:before="30"/>
            </w:pPr>
            <w:r>
              <w:rPr>
                <w:i/>
                <w:iCs/>
                <w:color w:val="1B4F8A"/>
                <w:sz w:val="10"/>
                <w:szCs w:val="10"/>
              </w:rPr>
              <w:t xml:space="preserve">Judgment &amp; Authority — gates that stay human by design</w:t>
            </w:r>
          </w:p>
          <w:p>
            <w:pPr>
              <w:spacing w:before="60"/>
            </w:pPr>
            <w:r>
              <w:rPr>
                <w:b/>
                <w:bCs/>
                <w:color w:val="1B4F8A"/>
                <w:sz w:val="15"/>
                <w:szCs w:val="15"/>
              </w:rPr>
              <w:t xml:space="preserve">2 L4 activities</w:t>
            </w:r>
          </w:p>
          <w:p>
            <w:pPr>
              <w:spacing w:before="40"/>
            </w:pPr>
            <w:r>
              <w:rPr>
                <w:color w:val="1B4F8A"/>
                <w:sz w:val="12"/>
                <w:szCs w:val="12"/>
              </w:rPr>
              <w:t xml:space="preserve">M1 92%  →  M3 80%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0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534AB7"/>
                <w:sz w:val="15"/>
                <w:szCs w:val="15"/>
              </w:rPr>
              <w:t xml:space="preserve">Knowledge</w:t>
            </w:r>
          </w:p>
          <w:p>
            <w:pPr>
              <w:spacing w:before="30"/>
            </w:pPr>
            <w:r>
              <w:rPr>
                <w:i/>
                <w:iCs/>
                <w:color w:val="534AB7"/>
                <w:sz w:val="10"/>
                <w:szCs w:val="10"/>
              </w:rPr>
              <w:t xml:space="preserve">Synthesis &amp; Interpretation — judgment-driven work</w:t>
            </w:r>
          </w:p>
          <w:p>
            <w:pPr>
              <w:spacing w:before="60"/>
            </w:pPr>
            <w:r>
              <w:rPr>
                <w:b/>
                <w:bCs/>
                <w:color w:val="534AB7"/>
                <w:sz w:val="15"/>
                <w:szCs w:val="15"/>
              </w:rPr>
              <w:t xml:space="preserve">11 L4 activities</w:t>
            </w:r>
          </w:p>
          <w:p>
            <w:pPr>
              <w:spacing w:before="40"/>
            </w:pPr>
            <w:r>
              <w:rPr>
                <w:color w:val="534AB7"/>
                <w:sz w:val="12"/>
                <w:szCs w:val="12"/>
              </w:rPr>
              <w:t xml:space="preserve">M1 85%  →  M3 65%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E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0369A1"/>
                <w:sz w:val="15"/>
                <w:szCs w:val="15"/>
              </w:rPr>
              <w:t xml:space="preserve">Document</w:t>
            </w:r>
          </w:p>
          <w:p>
            <w:pPr>
              <w:spacing w:before="30"/>
            </w:pPr>
            <w:r>
              <w:rPr>
                <w:i/>
                <w:iCs/>
                <w:color w:val="0369A1"/>
                <w:sz w:val="10"/>
                <w:szCs w:val="10"/>
              </w:rPr>
              <w:t xml:space="preserve">Content Generation — drafting and communication</w:t>
            </w:r>
          </w:p>
          <w:p>
            <w:pPr>
              <w:spacing w:before="60"/>
            </w:pPr>
            <w:r>
              <w:rPr>
                <w:b/>
                <w:bCs/>
                <w:color w:val="0369A1"/>
                <w:sz w:val="15"/>
                <w:szCs w:val="15"/>
              </w:rPr>
              <w:t xml:space="preserve">6 L4 activities</w:t>
            </w:r>
          </w:p>
          <w:p>
            <w:pPr>
              <w:spacing w:before="40"/>
            </w:pPr>
            <w:r>
              <w:rPr>
                <w:color w:val="0369A1"/>
                <w:sz w:val="12"/>
                <w:szCs w:val="12"/>
              </w:rPr>
              <w:t xml:space="preserve">M1 72%  →  M3 40%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CFCE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166534"/>
                <w:sz w:val="15"/>
                <w:szCs w:val="15"/>
              </w:rPr>
              <w:t xml:space="preserve">Transaction</w:t>
            </w:r>
          </w:p>
          <w:p>
            <w:pPr>
              <w:spacing w:before="30"/>
            </w:pPr>
            <w:r>
              <w:rPr>
                <w:i/>
                <w:iCs/>
                <w:color w:val="166534"/>
                <w:sz w:val="10"/>
                <w:szCs w:val="10"/>
              </w:rPr>
              <w:t xml:space="preserve">Rules-Based Processing — suited to automation</w:t>
            </w:r>
          </w:p>
          <w:p>
            <w:pPr>
              <w:spacing w:before="60"/>
            </w:pPr>
            <w:r>
              <w:rPr>
                <w:b/>
                <w:bCs/>
                <w:color w:val="166534"/>
                <w:sz w:val="15"/>
                <w:szCs w:val="15"/>
              </w:rPr>
              <w:t xml:space="preserve">17 L4 activities</w:t>
            </w:r>
          </w:p>
          <w:p>
            <w:pPr>
              <w:spacing w:before="40"/>
            </w:pPr>
            <w:r>
              <w:rPr>
                <w:color w:val="166534"/>
                <w:sz w:val="12"/>
                <w:szCs w:val="12"/>
              </w:rPr>
              <w:t xml:space="preserve">M1 60%  →  M3 35%</w:t>
            </w:r>
          </w:p>
        </w:tc>
        <w:tc>
          <w:tcPr>
            <w:tcW w:type="pct" w:w="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19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E2E2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r>
              <w:rPr>
                <w:b/>
                <w:bCs/>
                <w:color w:val="991B1B"/>
                <w:sz w:val="15"/>
                <w:szCs w:val="15"/>
              </w:rPr>
              <w:t xml:space="preserve">Exception</w:t>
            </w:r>
          </w:p>
          <w:p>
            <w:pPr>
              <w:spacing w:before="30"/>
            </w:pPr>
            <w:r>
              <w:rPr>
                <w:i/>
                <w:iCs/>
                <w:color w:val="991B1B"/>
                <w:sz w:val="10"/>
                <w:szCs w:val="10"/>
              </w:rPr>
              <w:t xml:space="preserve">Non-Standard Resolution — human-resolved by nature</w:t>
            </w:r>
          </w:p>
          <w:p>
            <w:pPr>
              <w:spacing w:before="60"/>
            </w:pPr>
            <w:r>
              <w:rPr>
                <w:b/>
                <w:bCs/>
                <w:color w:val="991B1B"/>
                <w:sz w:val="15"/>
                <w:szCs w:val="15"/>
              </w:rPr>
              <w:t xml:space="preserve">0 L4 activities</w:t>
            </w:r>
          </w:p>
          <w:p>
            <w:pPr>
              <w:spacing w:before="40"/>
            </w:pPr>
            <w:r>
              <w:rPr>
                <w:i/>
                <w:iCs/>
                <w:color w:val="991B1B"/>
                <w:sz w:val="11"/>
                <w:szCs w:val="11"/>
              </w:rPr>
              <w:t xml:space="preserve">No activities of this pattern in this value stream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Process Accountability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600"/>
        <w:gridCol w:w="3540"/>
        <w:gridCol w:w="2000"/>
      </w:tblGrid>
      <w:tr>
        <w:trPr>
          <w:tblHeader/>
        </w:trPr>
        <w:tc>
          <w:tcPr>
            <w:tcW w:type="pct" w:w="28.88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Process Accountability</w:t>
            </w:r>
          </w:p>
        </w:tc>
        <w:tc>
          <w:tcPr>
            <w:tcW w:type="pct" w:w="15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Tier</w:t>
            </w:r>
          </w:p>
        </w:tc>
        <w:tc>
          <w:tcPr>
            <w:tcW w:type="pct" w:w="35.2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L3 Processes</w:t>
            </w:r>
          </w:p>
        </w:tc>
        <w:tc>
          <w:tcPr>
            <w:tcW w:type="pct" w:w="19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L4 Activities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IT Service Manager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2"/>
                <w:szCs w:val="12"/>
              </w:rPr>
              <w:t xml:space="preserve">Managerial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8.6.1, 8.6.2, 8.6.3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20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DevOps Engineer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2"/>
                <w:szCs w:val="12"/>
              </w:rPr>
              <w:t xml:space="preserve">Operational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8.6.4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9</w:t>
            </w:r>
          </w:p>
        </w:tc>
      </w:tr>
      <w:tr>
        <w:tc>
          <w:tcPr>
            <w:tcW w:type="pct" w:w="28.88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5"/>
                <w:szCs w:val="15"/>
              </w:rPr>
              <w:t xml:space="preserve">IT Support Specialist</w:t>
            </w:r>
          </w:p>
        </w:tc>
        <w:tc>
          <w:tcPr>
            <w:tcW w:type="pct" w:w="15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2"/>
                <w:szCs w:val="12"/>
              </w:rPr>
              <w:t xml:space="preserve">Operational</w:t>
            </w:r>
          </w:p>
        </w:tc>
        <w:tc>
          <w:tcPr>
            <w:tcW w:type="pct" w:w="35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666666"/>
                <w:sz w:val="13"/>
                <w:szCs w:val="13"/>
              </w:rPr>
              <w:t xml:space="preserve">8.6.5</w:t>
            </w:r>
          </w:p>
        </w:tc>
        <w:tc>
          <w:tcPr>
            <w:tcW w:type="pct" w:w="19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jc w:val="center"/>
            </w:pPr>
            <w:r>
              <w:rPr>
                <w:color w:val="444444"/>
                <w:sz w:val="15"/>
                <w:szCs w:val="15"/>
              </w:rPr>
              <w:t xml:space="preserve">7</w:t>
            </w:r>
          </w:p>
        </w:tc>
      </w:tr>
    </w:tbl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Handoff Points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The stream opens with IT Service Manager on deployment strategy, implementation planning, and deployment control (8.6.1–8.6.3) — the ITIL Change Management governance layer.</w:t>
      </w:r>
    </w:p>
    <w:p>
      <w:pPr>
        <w:spacing w:after="160"/>
      </w:pPr>
      <w:r>
        <w:rPr>
          <w:color w:val="444444"/>
          <w:sz w:val="18"/>
          <w:szCs w:val="18"/>
        </w:rPr>
        <w:t xml:space="preserve">It then hands to DevOps Engineer for pure execution — implementing the technology solution itself (8.6.4) — before closing with IT Support Specialist on rollout (8.6.5): training, communications, and end-user-facing support distinct from the technical deployment.</w:t>
      </w:r>
    </w:p>
    <w:p>
      <w:pPr>
        <w:spacing w:after="40" w:before="260"/>
      </w:pPr>
      <w:r>
        <w:rPr>
          <w:b/>
          <w:bCs/>
          <w:color w:val="0D2D4F"/>
          <w:sz w:val="19"/>
          <w:szCs w:val="19"/>
        </w:rPr>
        <w:t xml:space="preserve">Governed Decision Points</w:t>
      </w:r>
    </w:p>
    <w:p>
      <w:pPr>
        <w:spacing w:after="100"/>
      </w:pPr>
      <w:r>
        <w:rPr>
          <w:color w:val="888888"/>
          <w:sz w:val="14"/>
          <w:szCs w:val="14"/>
        </w:rPr>
        <w:t xml:space="preserve">Every Decision/Exception-pattern activity in the value stream, including those embedded inside Mixed-labeled steps.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1900"/>
        <w:gridCol w:w="1400"/>
        <w:gridCol w:w="1900"/>
        <w:gridCol w:w="1460"/>
        <w:gridCol w:w="2600"/>
      </w:tblGrid>
      <w:tr>
        <w:trPr>
          <w:tblHeader/>
        </w:trPr>
        <w:tc>
          <w:tcPr>
            <w:tcW w:type="pct" w:w="7.77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18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Decision</w:t>
            </w:r>
          </w:p>
        </w:tc>
        <w:tc>
          <w:tcPr>
            <w:tcW w:type="pct" w:w="13.9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Authority</w:t>
            </w:r>
          </w:p>
        </w:tc>
        <w:tc>
          <w:tcPr>
            <w:tcW w:type="pct" w:w="18.92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Impact</w:t>
            </w:r>
          </w:p>
        </w:tc>
        <w:tc>
          <w:tcPr>
            <w:tcW w:type="pct" w:w="14.54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Escalates To</w:t>
            </w:r>
          </w:p>
        </w:tc>
        <w:tc>
          <w:tcPr>
            <w:tcW w:type="pct" w:w="25.9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Trigger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8.6.1.5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Assign deployment approval responsibilities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IT Service Manager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Governance — establishes who can authorize production changes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IT Director (Managerial)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Approval authority must span multiple teams or a newly introduced deployment pathway</w:t>
            </w:r>
          </w:p>
        </w:tc>
      </w:tr>
      <w:tr>
        <w:tc>
          <w:tcPr>
            <w:tcW w:type="pct" w:w="7.77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000000"/>
                <w:sz w:val="13"/>
                <w:szCs w:val="13"/>
              </w:rPr>
              <w:t xml:space="preserve">8.6.3.6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Approve change/release deployment</w:t>
            </w:r>
          </w:p>
        </w:tc>
        <w:tc>
          <w:tcPr>
            <w:tcW w:type="pct" w:w="13.9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IT Service Manager</w:t>
            </w:r>
          </w:p>
        </w:tc>
        <w:tc>
          <w:tcPr>
            <w:tcW w:type="pct" w:w="18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Operational — authorizes production change with direct service-continuity risk</w:t>
            </w:r>
          </w:p>
        </w:tc>
        <w:tc>
          <w:tcPr>
            <w:tcW w:type="pct" w:w="14.5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IT Director (Managerial)</w:t>
            </w:r>
          </w:p>
        </w:tc>
        <w:tc>
          <w:tcPr>
            <w:tcW w:type="pct" w:w="25.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top"/>
          </w:tcPr>
          <w:p>
            <w:r>
              <w:rPr>
                <w:color w:val="444444"/>
                <w:sz w:val="13"/>
                <w:szCs w:val="13"/>
              </w:rPr>
              <w:t xml:space="preserve">Change carries high-risk classification, touches a business-critical system, or falls outside the standard change window</w:t>
            </w:r>
          </w:p>
        </w:tc>
      </w:tr>
    </w:tbl>
    <w:p>
      <w:pPr>
        <w:spacing w:before="260"/>
      </w:pPr>
      <w:r>
        <w:rPr>
          <w:i/>
          <w:iCs/>
          <w:color w:val="888888"/>
          <w:sz w:val="13"/>
          <w:szCs w:val="13"/>
        </w:rPr>
        <w:t xml:space="preserve">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8.6 — Change-to-Deploy — Value Stream Profile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2026-08-09T12:47:33.700Z</dcterms:created>
  <dcterms:modified xsi:type="dcterms:W3CDTF">2026-08-09T12:47:33.700Z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