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Perform-to-Grow</w:t>
      </w:r>
    </w:p>
    <w:p>
      <w:pPr>
        <w:spacing w:after="200"/>
      </w:pPr>
      <w:r>
        <w:rPr>
          <w:i/>
          <w:iCs/>
          <w:color w:val="888888"/>
          <w:sz w:val="17"/>
          <w:szCs w:val="17"/>
        </w:rPr>
        <w:t xml:space="preserve">PCF 7.3 — Develop Talent — Value Stream Profile</w:t>
      </w:r>
    </w:p>
    <w:p>
      <w:pPr>
        <w:spacing w:after="120"/>
      </w:pPr>
      <w:r>
        <w:rPr>
          <w:color w:val="444444"/>
          <w:sz w:val="18"/>
          <w:szCs w:val="18"/>
        </w:rPr>
        <w:t xml:space="preserve">This value stream comprises one APQC PCF process group: 7.3 Develop and Counsel Employees — spanning 4 Level 3 processes and 18 Level 4 activities.</w:t>
      </w:r>
    </w:p>
    <w:p>
      <w:pPr>
        <w:spacing w:after="120"/>
      </w:pPr>
      <w:r>
        <w:rPr>
          <w:color w:val="444444"/>
          <w:sz w:val="18"/>
          <w:szCs w:val="18"/>
        </w:rPr>
        <w:t xml:space="preserve">At the activity level, this value stream's work breaks down as 12 Knowledge activities (judgment, synthesis, and interpretation-driven work), 4 Transaction activities (rules-based processing suited to automation), 1 Document activity (content generation), and 1 Decision activity (judgment-and-authority gates that stay human by design). No Exception-pattern activity exists within this value stream.</w:t>
      </w:r>
    </w:p>
    <w:p>
      <w:pPr>
        <w:spacing w:after="200"/>
      </w:pPr>
      <w:r>
        <w:rPr>
          <w:color w:val="444444"/>
          <w:sz w:val="18"/>
          <w:szCs w:val="18"/>
        </w:rPr>
        <w:t xml:space="preserve">At M3 (HITL Design Intent), the value stream's aggregate human-involvement ratio is 58%, down from a 79% undesigned baseline — a 21-point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4</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18</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79%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58%</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-21%</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Engagement score</w:t>
            </w:r>
          </w:p>
          <w:p>
            <w:r>
              <w:rPr>
                <w:i/>
                <w:iCs/>
                <w:color w:val="888888"/>
                <w:sz w:val="13"/>
                <w:szCs w:val="13"/>
              </w:rPr>
              <w:t xml:space="preserve">No single standardized formula — SHRM: “there is no one way to measure Engagement.” Measured as weighted average of favorable (Agree/Strongly Agree) responses across an engagement survey, per cycle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SHRM</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Internal mobility rate</w:t>
            </w:r>
          </w:p>
          <w:p>
            <w:r>
              <w:rPr>
                <w:i/>
                <w:iCs/>
                <w:color w:val="888888"/>
                <w:sz w:val="13"/>
                <w:szCs w:val="13"/>
              </w:rPr>
              <w:t xml:space="preserve">Employees moving to a new internal role ÷ total headcount, measured annually</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Manager effectiveness</w:t>
            </w:r>
          </w:p>
          <w:p>
            <w:r>
              <w:rPr>
                <w:i/>
                <w:iCs/>
                <w:color w:val="888888"/>
                <w:sz w:val="13"/>
                <w:szCs w:val="13"/>
              </w:rPr>
              <w:t xml:space="preserve">Weighted average of manager-effectiveness survey/360-review items (0–100 scale), by review cycle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Revenue / productivity per employee</w:t>
            </w:r>
          </w:p>
          <w:p>
            <w:r>
              <w:rPr>
                <w:i/>
                <w:iCs/>
                <w:color w:val="888888"/>
                <w:sz w:val="13"/>
                <w:szCs w:val="13"/>
              </w:rPr>
              <w:t xml:space="preserve">Total revenue (or output value) ÷ average headcount, per fiscal period</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bl>
    <w:p>
      <w:pPr>
        <w:spacing w:after="40" w:before="260"/>
      </w:pPr>
      <w:r>
        <w:rPr>
          <w:b/>
          <w:bCs/>
          <w:color w:val="0D2D4F"/>
          <w:sz w:val="19"/>
          <w:szCs w:val="19"/>
        </w:rPr>
        <w:t xml:space="preserve">Design Narrative</w:t>
      </w:r>
    </w:p>
    <w:p>
      <w:pPr>
        <w:spacing w:after="160"/>
      </w:pPr>
      <w:r>
        <w:rPr>
          <w:color w:val="444444"/>
          <w:sz w:val="18"/>
          <w:szCs w:val="18"/>
        </w:rPr>
        <w:t xml:space="preserve">Perform-to-Grow's HITL design keeps human judgment concentrated at two points: succession-plan decisions (7.3.3.4, Decision-pattern, the smallest Δ M1→M3 in the value stream at -12 points) and the performance review conversation itself (7.3.2.2), which sits outside the HR role catalog entirely and is conducted by the employee's direct manager rather than an HR role. Everything else in the value stream — onboarding implementation, performance documentation, skill and competency execution, training delivery and certifications — carries real AI-absorption opportunity at M3, reflected in the value stream's largest single Δ M1→M3 gap sitting in 7.3.2.3 (Document employee performance,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1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12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1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4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Onboarding Coordinator</w:t>
            </w:r>
          </w:p>
        </w:tc>
        <w:tc>
          <w:tcPr>
            <w:tcW w:type="pct" w:w="15.94%"/>
            <w:tcBorders>
              <w:top w:val="single" w:color="7AAED6" w:sz="2"/>
              <w:left w:val="single" w:color="7AAED6" w:sz="2"/>
              <w:bottom w:val="single" w:color="7AAED6" w:sz="2"/>
              <w:right w:val="single" w:color="7AAED6" w:sz="2"/>
            </w:tcBorders>
            <w:shd w:fill="DCFCE7" w:val="clear"/>
            <w:tcMar>
              <w:top w:type="dxa" w:w="80"/>
              <w:left w:type="dxa" w:w="100"/>
              <w:bottom w:type="dxa" w:w="80"/>
              <w:right w:type="dxa" w:w="100"/>
            </w:tcMar>
            <w:vAlign w:val="top"/>
          </w:tcPr>
          <w:p>
            <w:pPr>
              <w:jc w:val="center"/>
            </w:pPr>
            <w:r>
              <w:rPr>
                <w:b/>
                <w:bCs/>
                <w:color w:val="166534"/>
                <w:sz w:val="12"/>
                <w:szCs w:val="12"/>
              </w:rPr>
              <w:t xml:space="preserve">Operational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7.3.1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3</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HRBP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7.3.2</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4</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Director of L&amp;D</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7.3.3, 7.3.4</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11</w:t>
            </w:r>
          </w:p>
        </w:tc>
      </w:tr>
    </w:tbl>
    <w:p>
      <w:pPr>
        <w:spacing w:after="40" w:before="260"/>
      </w:pPr>
      <w:r>
        <w:rPr>
          <w:b/>
          <w:bCs/>
          <w:color w:val="0D2D4F"/>
          <w:sz w:val="19"/>
          <w:szCs w:val="19"/>
        </w:rPr>
        <w:t xml:space="preserve">Handoff Points</w:t>
      </w:r>
    </w:p>
    <w:p>
      <w:pPr>
        <w:spacing w:after="120"/>
      </w:pPr>
      <w:r>
        <w:rPr>
          <w:color w:val="444444"/>
          <w:sz w:val="18"/>
          <w:szCs w:val="18"/>
        </w:rPr>
        <w:t xml:space="preserve">The value stream opens with the Onboarding Coordinator (7.3.1), who owns the employee's entry into the organization end to end — program design, implementation, and monitoring all sit in one lane, the cleanest single-owner match in Perform-to-Grow.</w:t>
      </w:r>
    </w:p>
    <w:p>
      <w:pPr>
        <w:spacing w:after="120"/>
      </w:pPr>
      <w:r>
        <w:rPr>
          <w:color w:val="444444"/>
          <w:sz w:val="18"/>
          <w:szCs w:val="18"/>
        </w:rPr>
        <w:t xml:space="preserve">7.3.2 Manage Employee Performance is owned by the HRBP Manager, but the process itself hands off outside the HR role catalog: 7.3.2.2 Review employee performance is executed by the employee's direct manager, an external participant rather than an HR role. The HRBP Manager lane picks the process back up for objective-setting, documentation, and program monitoring around that handoff.</w:t>
      </w:r>
    </w:p>
    <w:p>
      <w:pPr>
        <w:spacing w:after="160"/>
      </w:pPr>
      <w:r>
        <w:rPr>
          <w:color w:val="444444"/>
          <w:sz w:val="18"/>
          <w:szCs w:val="18"/>
        </w:rPr>
        <w:t xml:space="preserve">7.3.3 and 7.3.4 both sit in the Director of L&amp;D lane — the largest lane in this value stream. The handoff into this lane from 7.3.2 is a shift from performance administration to development: guideline-setting and succession work (7.3.3) flow directly into training design and delivery (7.3.4).</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7.3.3.4</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Establish succession plan for a role or individual (embedded in Manage Career Development)</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Director of L&amp;D, HRBP Manager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People + Strategic — talent/continuity risk</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VP People &amp; Culture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Succession plan concerns a business-critical or executive-level role</w:t>
            </w:r>
          </w:p>
        </w:tc>
      </w:tr>
    </w:tbl>
    <w:p>
      <w:pPr>
        <w:spacing w:before="260"/>
      </w:pPr>
      <w:r>
        <w:rPr>
          <w:i/>
          <w:iCs/>
          <w:color w:val="888888"/>
          <w:sz w:val="13"/>
          <w:szCs w:val="13"/>
        </w:rPr>
        <w:t xml:space="preserve">©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7.3 — Perform-to-Grow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2026-08-09T12:14:51.810Z</dcterms:created>
  <dcterms:modified xsi:type="dcterms:W3CDTF">2026-08-09T12:14:51.810Z</dcterms:modified>
</cp:coreProperties>
</file>

<file path=docProps/custom.xml><?xml version="1.0" encoding="utf-8"?>
<Properties xmlns="http://schemas.openxmlformats.org/officeDocument/2006/custom-properties" xmlns:vt="http://schemas.openxmlformats.org/officeDocument/2006/docPropsVTypes"/>
</file>