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40"/>
      </w:tblGrid>
      <w:tr>
        <w:tc>
          <w:tcPr>
            <w:tcW w:type="pct" w:w="100%"/>
            <w:tcBorders>
              <w:top w:val="none" w:color="FFFFFF" w:sz="0"/>
              <w:left w:val="none" w:color="FFFFFF" w:sz="0"/>
              <w:bottom w:val="none" w:color="FFFFFF" w:sz="0"/>
              <w:right w:val="none" w:color="FFFFFF" w:sz="0"/>
            </w:tcBorders>
            <w:shd w:fill="0D2D4F" w:val="clear"/>
            <w:tcMar>
              <w:top w:type="dxa" w:w="220"/>
              <w:left w:type="dxa" w:w="200"/>
              <w:bottom w:type="dxa" w:w="200"/>
              <w:right w:type="dxa" w:w="200"/>
            </w:tcMar>
          </w:tcPr>
          <w:p>
            <w:pPr>
              <w:spacing w:after="60"/>
              <w:jc w:val="center"/>
            </w:pPr>
            <w:r>
              <w:rPr>
                <w:rFonts w:ascii="Georgia" w:cs="Georgia" w:eastAsia="Georgia" w:hAnsi="Georgia"/>
                <w:b/>
                <w:bCs/>
                <w:color w:val="FFFFFF"/>
                <w:sz w:val="28"/>
                <w:szCs w:val="28"/>
              </w:rPr>
              <w:t xml:space="preserve">The Human-AI Partnership Framework</w:t>
            </w:r>
          </w:p>
          <w:p>
            <w:pPr>
              <w:jc w:val="center"/>
            </w:pPr>
            <w:r>
              <w:rPr>
                <w:i/>
                <w:iCs/>
                <w:color w:val="9FC2EE"/>
                <w:sz w:val="16"/>
                <w:szCs w:val="16"/>
              </w:rPr>
              <w:t xml:space="preserve">Where human judgment belongs</w:t>
            </w:r>
          </w:p>
        </w:tc>
      </w:tr>
    </w:tbl>
    <w:p>
      <w:pPr>
        <w:spacing w:after="40" w:before="220"/>
      </w:pPr>
      <w:r>
        <w:rPr>
          <w:rFonts w:ascii="Georgia" w:cs="Georgia" w:eastAsia="Georgia" w:hAnsi="Georgia"/>
          <w:b/>
          <w:bCs/>
          <w:color w:val="0D2D4F"/>
          <w:sz w:val="30"/>
          <w:szCs w:val="30"/>
        </w:rPr>
        <w:t xml:space="preserve">Record-to-Report</w:t>
      </w:r>
    </w:p>
    <w:p>
      <w:pPr>
        <w:spacing w:after="200"/>
      </w:pPr>
      <w:r>
        <w:rPr>
          <w:i/>
          <w:iCs/>
          <w:color w:val="888888"/>
          <w:sz w:val="17"/>
          <w:szCs w:val="17"/>
        </w:rPr>
        <w:t xml:space="preserve">PCF 9.3, 9.8 — General accounting, financial reporting &amp; internal controls — Value Stream Profile</w:t>
      </w:r>
    </w:p>
    <w:p>
      <w:pPr>
        <w:spacing w:after="120"/>
      </w:pPr>
      <w:r>
        <w:rPr>
          <w:color w:val="444444"/>
          <w:sz w:val="18"/>
          <w:szCs w:val="18"/>
        </w:rPr>
        <w:t xml:space="preserve">This value stream comprises two APQC PCF process groups: 9.3 Perform General Accounting and Reporting and 9.8 Manage Internal Controls — spanning 7 Level 3 processes and 42 Level 4 activities, the largest value stream in PCF 9.0 by both measures.</w:t>
      </w:r>
    </w:p>
    <w:p>
      <w:pPr>
        <w:spacing w:after="120"/>
      </w:pPr>
      <w:r>
        <w:rPr>
          <w:color w:val="444444"/>
          <w:sz w:val="18"/>
          <w:szCs w:val="18"/>
        </w:rPr>
        <w:t xml:space="preserve">At the activity level, this value stream's work breaks down as 20 Transaction activities, 12 Document activities, 5 Decision activities, 4 Knowledge activities, and 1 Exception activity.</w:t>
      </w:r>
    </w:p>
    <w:p>
      <w:pPr>
        <w:spacing w:after="200"/>
      </w:pPr>
      <w:r>
        <w:rPr>
          <w:color w:val="444444"/>
          <w:sz w:val="18"/>
          <w:szCs w:val="18"/>
        </w:rPr>
        <w:t xml:space="preserve">At M3 (HITL Design Intent), the value stream's aggregate human-involvement ratio is 49%, down from a 73% undesigned baseline — a 24-point AI convergence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8"/>
        <w:gridCol w:w="2008"/>
        <w:gridCol w:w="2008"/>
        <w:gridCol w:w="2008"/>
        <w:gridCol w:w="2008"/>
      </w:tblGrid>
      <w:tr>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L3 PROCESSES</w:t>
            </w:r>
          </w:p>
          <w:p>
            <w:r>
              <w:rPr>
                <w:b/>
                <w:bCs/>
                <w:color w:val="1B4F8A"/>
                <w:sz w:val="22"/>
                <w:szCs w:val="22"/>
              </w:rPr>
              <w:t xml:space="preserve">7</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L4 ACTIVITIES</w:t>
            </w:r>
          </w:p>
          <w:p>
            <w:r>
              <w:rPr>
                <w:b/>
                <w:bCs/>
                <w:color w:val="1B4F8A"/>
                <w:sz w:val="22"/>
                <w:szCs w:val="22"/>
              </w:rPr>
              <w:t xml:space="preserve">42</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M1 BASELINE H%</w:t>
            </w:r>
          </w:p>
          <w:p>
            <w:r>
              <w:rPr>
                <w:b/>
                <w:bCs/>
                <w:color w:val="1B4F8A"/>
                <w:sz w:val="22"/>
                <w:szCs w:val="22"/>
              </w:rPr>
              <w:t xml:space="preserve">73%</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M3 DESIGN INTENT H%</w:t>
            </w:r>
          </w:p>
          <w:p>
            <w:r>
              <w:rPr>
                <w:b/>
                <w:bCs/>
                <w:color w:val="1B4F8A"/>
                <w:sz w:val="22"/>
                <w:szCs w:val="22"/>
              </w:rPr>
              <w:t xml:space="preserve">49%</w:t>
            </w:r>
          </w:p>
        </w:tc>
        <w:tc>
          <w:tcPr>
            <w:tcW w:type="pct" w:w="20%"/>
            <w:tcBorders>
              <w:top w:val="single" w:color="7AAED6" w:sz="2"/>
              <w:left w:val="single" w:color="7AAED6" w:sz="2"/>
              <w:bottom w:val="single" w:color="7AAED6" w:sz="2"/>
              <w:right w:val="single" w:color="7AAED6" w:sz="2"/>
            </w:tcBorders>
            <w:shd w:fill="FAFBFD" w:val="clear"/>
            <w:tcMar>
              <w:top w:type="dxa" w:w="120"/>
              <w:left w:type="dxa" w:w="140"/>
              <w:bottom w:type="dxa" w:w="120"/>
              <w:right w:type="dxa" w:w="100"/>
            </w:tcMar>
          </w:tcPr>
          <w:p>
            <w:pPr>
              <w:spacing w:after="40"/>
            </w:pPr>
            <w:r>
              <w:rPr>
                <w:color w:val="888888"/>
                <w:sz w:val="12"/>
                <w:szCs w:val="12"/>
              </w:rPr>
              <w:t xml:space="preserve">Δ M1 → M3</w:t>
            </w:r>
          </w:p>
          <w:p>
            <w:r>
              <w:rPr>
                <w:b/>
                <w:bCs/>
                <w:color w:val="1B4F8A"/>
                <w:sz w:val="22"/>
                <w:szCs w:val="22"/>
              </w:rPr>
              <w:t xml:space="preserve">-24%</w:t>
            </w:r>
          </w:p>
        </w:tc>
      </w:tr>
    </w:tbl>
    <w:p>
      <w:pPr>
        <w:spacing w:after="40" w:before="260"/>
      </w:pPr>
      <w:r>
        <w:rPr>
          <w:b/>
          <w:bCs/>
          <w:color w:val="0D2D4F"/>
          <w:sz w:val="19"/>
          <w:szCs w:val="19"/>
        </w:rPr>
        <w:t xml:space="preserve">KPIs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530"/>
        <w:gridCol w:w="2510"/>
      </w:tblGrid>
      <w:tr>
        <w:trPr>
          <w:tblHeader/>
        </w:trPr>
        <w:tc>
          <w:tcPr>
            <w:tcW w:type="pct" w:w="75%"/>
            <w:shd w:fill="1B4F8A" w:val="clear"/>
            <w:tcMar>
              <w:top w:type="dxa" w:w="60"/>
              <w:left w:type="dxa" w:w="140"/>
              <w:bottom w:type="dxa" w:w="60"/>
              <w:right w:type="dxa" w:w="60"/>
            </w:tcMar>
            <w:vAlign w:val="bottom"/>
          </w:tcPr>
          <w:p>
            <w:pPr>
              <w:jc w:val="left"/>
            </w:pPr>
            <w:r>
              <w:rPr>
                <w:b/>
                <w:bCs/>
                <w:color w:val="FFFFFF"/>
                <w:sz w:val="11"/>
                <w:szCs w:val="11"/>
              </w:rPr>
              <w:t xml:space="preserve">Business Impact Metric &amp; Formula (where confirmed)</w:t>
            </w:r>
          </w:p>
        </w:tc>
        <w:tc>
          <w:tcPr>
            <w:tcW w:type="pct" w:w="25%"/>
            <w:shd w:fill="1B4F8A" w:val="clear"/>
            <w:tcMar>
              <w:top w:type="dxa" w:w="60"/>
              <w:left w:type="dxa" w:w="140"/>
              <w:bottom w:type="dxa" w:w="60"/>
              <w:right w:type="dxa" w:w="60"/>
            </w:tcMar>
            <w:vAlign w:val="bottom"/>
          </w:tcPr>
          <w:p>
            <w:pPr>
              <w:jc w:val="left"/>
            </w:pPr>
            <w:r>
              <w:rPr>
                <w:b/>
                <w:bCs/>
                <w:color w:val="FFFFFF"/>
                <w:sz w:val="11"/>
                <w:szCs w:val="11"/>
              </w:rPr>
              <w:t xml:space="preserve">Source</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Cycle time to close</w:t>
            </w:r>
          </w:p>
          <w:p>
            <w:r>
              <w:rPr>
                <w:i/>
                <w:iCs/>
                <w:color w:val="888888"/>
                <w:sz w:val="13"/>
                <w:szCs w:val="13"/>
              </w:rPr>
              <w:t xml:space="preserve">Business days from period-end to finalized, published financial statements</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General accounting cost ratio</w:t>
            </w:r>
          </w:p>
          <w:p>
            <w:r>
              <w:rPr>
                <w:i/>
                <w:iCs/>
                <w:color w:val="888888"/>
                <w:sz w:val="13"/>
                <w:szCs w:val="13"/>
              </w:rPr>
              <w:t xml:space="preserve">% of revenue spent on general accounting and financial reporting activity</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APQC OSB</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Journal entry automation rate</w:t>
            </w:r>
          </w:p>
          <w:p>
            <w:r>
              <w:rPr>
                <w:i/>
                <w:iCs/>
                <w:color w:val="888888"/>
                <w:sz w:val="13"/>
                <w:szCs w:val="13"/>
              </w:rPr>
              <w:t xml:space="preserve">% of journal entries posted without manual intervention</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The Hackett Group</w:t>
            </w:r>
          </w:p>
        </w:tc>
      </w:tr>
      <w:tr>
        <w:tc>
          <w:tcPr>
            <w:tcW w:type="pct" w:w="7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pPr>
              <w:spacing w:after="40"/>
            </w:pPr>
            <w:r>
              <w:rPr>
                <w:b/>
                <w:bCs/>
                <w:color w:val="444444"/>
                <w:sz w:val="15"/>
                <w:szCs w:val="15"/>
              </w:rPr>
              <w:t xml:space="preserve">Control deficiency remediation cycle time</w:t>
            </w:r>
          </w:p>
          <w:p>
            <w:r>
              <w:rPr>
                <w:i/>
                <w:iCs/>
                <w:color w:val="888888"/>
                <w:sz w:val="13"/>
                <w:szCs w:val="13"/>
              </w:rPr>
              <w:t xml:space="preserve">Average days from deficiency identification to remediation and re-test</w:t>
            </w:r>
          </w:p>
        </w:tc>
        <w:tc>
          <w:tcPr>
            <w:tcW w:type="pct" w:w="25%"/>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888888"/>
                <w:sz w:val="14"/>
                <w:szCs w:val="14"/>
              </w:rPr>
              <w:t xml:space="preserve">IIA (Institute of Internal Auditors)</w:t>
            </w:r>
          </w:p>
        </w:tc>
      </w:tr>
      <w:tr>
        <w:tc>
          <w:tcPr>
            <w:tcW w:type="pct" w:w="7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pPr>
              <w:spacing w:after="40"/>
            </w:pPr>
            <w:r>
              <w:rPr>
                <w:b/>
                <w:bCs/>
                <w:color w:val="444444"/>
                <w:sz w:val="15"/>
                <w:szCs w:val="15"/>
              </w:rPr>
              <w:t xml:space="preserve">Material weakness / significant deficiency count</w:t>
            </w:r>
          </w:p>
          <w:p>
            <w:r>
              <w:rPr>
                <w:i/>
                <w:iCs/>
                <w:color w:val="888888"/>
                <w:sz w:val="13"/>
                <w:szCs w:val="13"/>
              </w:rPr>
              <w:t xml:space="preserve">Count of open material weaknesses and significant deficiencies at period-end, assessed against COSO Internal Control—Integrated Framework criteria</w:t>
            </w:r>
          </w:p>
        </w:tc>
        <w:tc>
          <w:tcPr>
            <w:tcW w:type="pct" w:w="25%"/>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888888"/>
                <w:sz w:val="14"/>
                <w:szCs w:val="14"/>
              </w:rPr>
              <w:t xml:space="preserve">COSO</w:t>
            </w:r>
          </w:p>
        </w:tc>
      </w:tr>
    </w:tbl>
    <w:p>
      <w:pPr>
        <w:spacing w:after="40" w:before="260"/>
      </w:pPr>
      <w:r>
        <w:rPr>
          <w:b/>
          <w:bCs/>
          <w:color w:val="0D2D4F"/>
          <w:sz w:val="19"/>
          <w:szCs w:val="19"/>
        </w:rPr>
        <w:t xml:space="preserve">Design Narrative</w:t>
      </w:r>
    </w:p>
    <w:p>
      <w:pPr>
        <w:spacing w:after="160"/>
      </w:pPr>
      <w:r>
        <w:rPr>
          <w:color w:val="444444"/>
          <w:sz w:val="18"/>
          <w:szCs w:val="18"/>
        </w:rPr>
        <w:t xml:space="preserve">Record-to-Report spans two APQC process groups — 9.3 General Accounting and Reporting and 9.8 Manage Internal Controls — and its accountability pattern reflects that combined scope: VP Controller holds a plurality rather than a majority, Accountable for 3 of 7 L3s, but those three are the stream's framing L3s — financial-policy setting (9.3.1), financial reporting itself (9.3.4), and internal-controls establishment (9.8.1) — the stream's policy-in/report-out boundary. Director of Accounting owns the transactional core between those bookends: general accounting (9.3.2) and fixed-asset accounting (9.3.3). Internal Audit Manager owns the stream's compliance-monitoring half (9.8.2, 9.8.3), operating and reporting on the controls VP Controller establishes. This is the largest value stream in PCF 9.0 by both L3 count (7) and activity count (42), and industry finance-transformation frameworks — including The Hackett Group's global business services benchmarking — treat record-to-report as one of finance's three core operational value chains alongside order-to-cash and procure-to-pay, not a supporting function, which is why it classifies Operational rather than Enablement despite carrying the domain's internal-controls governance. Its steepest AI-absorption opportunity sits in 9.3.1.3 (Publish accounting policies, Document-pattern, -32 points).</w:t>
      </w:r>
    </w:p>
    <w:p>
      <w:pPr>
        <w:spacing w:after="40" w:before="260"/>
      </w:pPr>
      <w:r>
        <w:rPr>
          <w:b/>
          <w:bCs/>
          <w:color w:val="0D2D4F"/>
          <w:sz w:val="19"/>
          <w:szCs w:val="19"/>
        </w:rPr>
        <w:t xml:space="preserve">AI Capability Map</w:t>
      </w:r>
    </w:p>
    <w:p>
      <w:pPr>
        <w:spacing w:after="120"/>
      </w:pPr>
      <w:r>
        <w:rPr>
          <w:color w:val="888888"/>
          <w:sz w:val="14"/>
          <w:szCs w:val="14"/>
        </w:rPr>
        <w:t xml:space="preserve">Pattern-type distribution across this value stream's activity units. H% figures are the pattern type's standard value at each maturity level, applied consistently across all PCF domains.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28"/>
        <w:gridCol w:w="100"/>
        <w:gridCol w:w="1928"/>
        <w:gridCol w:w="100"/>
        <w:gridCol w:w="1928"/>
        <w:gridCol w:w="100"/>
        <w:gridCol w:w="1928"/>
        <w:gridCol w:w="100"/>
        <w:gridCol w:w="1928"/>
      </w:tblGrid>
      <w:tr>
        <w:tc>
          <w:tcPr>
            <w:tcW w:type="pct" w:w="19.2%"/>
            <w:tcBorders>
              <w:top w:val="none" w:color="FFFFFF" w:sz="0"/>
              <w:left w:val="none" w:color="FFFFFF" w:sz="0"/>
              <w:bottom w:val="none" w:color="FFFFFF" w:sz="0"/>
              <w:right w:val="none" w:color="FFFFFF" w:sz="0"/>
            </w:tcBorders>
            <w:shd w:fill="EEF3FA" w:val="clear"/>
            <w:tcMar>
              <w:top w:type="dxa" w:w="140"/>
              <w:left w:type="dxa" w:w="120"/>
              <w:bottom w:type="dxa" w:w="140"/>
              <w:right w:type="dxa" w:w="120"/>
            </w:tcMar>
          </w:tcPr>
          <w:p>
            <w:r>
              <w:rPr>
                <w:b/>
                <w:bCs/>
                <w:color w:val="1B4F8A"/>
                <w:sz w:val="15"/>
                <w:szCs w:val="15"/>
              </w:rPr>
              <w:t xml:space="preserve">Decision</w:t>
            </w:r>
          </w:p>
          <w:p>
            <w:pPr>
              <w:spacing w:before="30"/>
            </w:pPr>
            <w:r>
              <w:rPr>
                <w:i/>
                <w:iCs/>
                <w:color w:val="1B4F8A"/>
                <w:sz w:val="10"/>
                <w:szCs w:val="10"/>
              </w:rPr>
              <w:t xml:space="preserve">Judgment &amp; Authority — gates that stay human by design</w:t>
            </w:r>
          </w:p>
          <w:p>
            <w:pPr>
              <w:spacing w:before="60"/>
            </w:pPr>
            <w:r>
              <w:rPr>
                <w:b/>
                <w:bCs/>
                <w:color w:val="1B4F8A"/>
                <w:sz w:val="15"/>
                <w:szCs w:val="15"/>
              </w:rPr>
              <w:t xml:space="preserve">5 L4 activities</w:t>
            </w:r>
          </w:p>
          <w:p>
            <w:pPr>
              <w:spacing w:before="40"/>
            </w:pPr>
            <w:r>
              <w:rPr>
                <w:color w:val="1B4F8A"/>
                <w:sz w:val="12"/>
                <w:szCs w:val="12"/>
              </w:rPr>
              <w:t xml:space="preserve">M1 92%  →  M3 80%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3F0FE" w:val="clear"/>
            <w:tcMar>
              <w:top w:type="dxa" w:w="140"/>
              <w:left w:type="dxa" w:w="120"/>
              <w:bottom w:type="dxa" w:w="140"/>
              <w:right w:type="dxa" w:w="120"/>
            </w:tcMar>
          </w:tcPr>
          <w:p>
            <w:r>
              <w:rPr>
                <w:b/>
                <w:bCs/>
                <w:color w:val="534AB7"/>
                <w:sz w:val="15"/>
                <w:szCs w:val="15"/>
              </w:rPr>
              <w:t xml:space="preserve">Knowledge</w:t>
            </w:r>
          </w:p>
          <w:p>
            <w:pPr>
              <w:spacing w:before="30"/>
            </w:pPr>
            <w:r>
              <w:rPr>
                <w:i/>
                <w:iCs/>
                <w:color w:val="534AB7"/>
                <w:sz w:val="10"/>
                <w:szCs w:val="10"/>
              </w:rPr>
              <w:t xml:space="preserve">Synthesis &amp; Interpretation — judgment-driven work</w:t>
            </w:r>
          </w:p>
          <w:p>
            <w:pPr>
              <w:spacing w:before="60"/>
            </w:pPr>
            <w:r>
              <w:rPr>
                <w:b/>
                <w:bCs/>
                <w:color w:val="534AB7"/>
                <w:sz w:val="15"/>
                <w:szCs w:val="15"/>
              </w:rPr>
              <w:t xml:space="preserve">4 L4 activities</w:t>
            </w:r>
          </w:p>
          <w:p>
            <w:pPr>
              <w:spacing w:before="40"/>
            </w:pPr>
            <w:r>
              <w:rPr>
                <w:color w:val="534AB7"/>
                <w:sz w:val="12"/>
                <w:szCs w:val="12"/>
              </w:rPr>
              <w:t xml:space="preserve">M1 85%  →  M3 65%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E0F2FE" w:val="clear"/>
            <w:tcMar>
              <w:top w:type="dxa" w:w="140"/>
              <w:left w:type="dxa" w:w="120"/>
              <w:bottom w:type="dxa" w:w="140"/>
              <w:right w:type="dxa" w:w="120"/>
            </w:tcMar>
          </w:tcPr>
          <w:p>
            <w:r>
              <w:rPr>
                <w:b/>
                <w:bCs/>
                <w:color w:val="0369A1"/>
                <w:sz w:val="15"/>
                <w:szCs w:val="15"/>
              </w:rPr>
              <w:t xml:space="preserve">Document</w:t>
            </w:r>
          </w:p>
          <w:p>
            <w:pPr>
              <w:spacing w:before="30"/>
            </w:pPr>
            <w:r>
              <w:rPr>
                <w:i/>
                <w:iCs/>
                <w:color w:val="0369A1"/>
                <w:sz w:val="10"/>
                <w:szCs w:val="10"/>
              </w:rPr>
              <w:t xml:space="preserve">Content Generation — drafting and communication</w:t>
            </w:r>
          </w:p>
          <w:p>
            <w:pPr>
              <w:spacing w:before="60"/>
            </w:pPr>
            <w:r>
              <w:rPr>
                <w:b/>
                <w:bCs/>
                <w:color w:val="0369A1"/>
                <w:sz w:val="15"/>
                <w:szCs w:val="15"/>
              </w:rPr>
              <w:t xml:space="preserve">12 L4 activities</w:t>
            </w:r>
          </w:p>
          <w:p>
            <w:pPr>
              <w:spacing w:before="40"/>
            </w:pPr>
            <w:r>
              <w:rPr>
                <w:color w:val="0369A1"/>
                <w:sz w:val="12"/>
                <w:szCs w:val="12"/>
              </w:rPr>
              <w:t xml:space="preserve">M1 72%  →  M3 40%</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DCFCE7" w:val="clear"/>
            <w:tcMar>
              <w:top w:type="dxa" w:w="140"/>
              <w:left w:type="dxa" w:w="120"/>
              <w:bottom w:type="dxa" w:w="140"/>
              <w:right w:type="dxa" w:w="120"/>
            </w:tcMar>
          </w:tcPr>
          <w:p>
            <w:r>
              <w:rPr>
                <w:b/>
                <w:bCs/>
                <w:color w:val="166534"/>
                <w:sz w:val="15"/>
                <w:szCs w:val="15"/>
              </w:rPr>
              <w:t xml:space="preserve">Transaction</w:t>
            </w:r>
          </w:p>
          <w:p>
            <w:pPr>
              <w:spacing w:before="30"/>
            </w:pPr>
            <w:r>
              <w:rPr>
                <w:i/>
                <w:iCs/>
                <w:color w:val="166534"/>
                <w:sz w:val="10"/>
                <w:szCs w:val="10"/>
              </w:rPr>
              <w:t xml:space="preserve">Rules-Based Processing — suited to automation</w:t>
            </w:r>
          </w:p>
          <w:p>
            <w:pPr>
              <w:spacing w:before="60"/>
            </w:pPr>
            <w:r>
              <w:rPr>
                <w:b/>
                <w:bCs/>
                <w:color w:val="166534"/>
                <w:sz w:val="15"/>
                <w:szCs w:val="15"/>
              </w:rPr>
              <w:t xml:space="preserve">20 L4 activities</w:t>
            </w:r>
          </w:p>
          <w:p>
            <w:pPr>
              <w:spacing w:before="40"/>
            </w:pPr>
            <w:r>
              <w:rPr>
                <w:color w:val="166534"/>
                <w:sz w:val="12"/>
                <w:szCs w:val="12"/>
              </w:rPr>
              <w:t xml:space="preserve">M1 60%  →  M3 35%</w:t>
            </w:r>
          </w:p>
        </w:tc>
        <w:tc>
          <w:tcPr>
            <w:tcW w:type="pct" w:w="1%"/>
            <w:tcBorders>
              <w:top w:val="none" w:color="FFFFFF" w:sz="0"/>
              <w:left w:val="none" w:color="FFFFFF" w:sz="0"/>
              <w:bottom w:val="none" w:color="FFFFFF" w:sz="0"/>
              <w:right w:val="none" w:color="FFFFFF" w:sz="0"/>
            </w:tcBorders>
          </w:tcPr>
          <w:p/>
        </w:tc>
        <w:tc>
          <w:tcPr>
            <w:tcW w:type="pct" w:w="19.2%"/>
            <w:tcBorders>
              <w:top w:val="none" w:color="FFFFFF" w:sz="0"/>
              <w:left w:val="none" w:color="FFFFFF" w:sz="0"/>
              <w:bottom w:val="none" w:color="FFFFFF" w:sz="0"/>
              <w:right w:val="none" w:color="FFFFFF" w:sz="0"/>
            </w:tcBorders>
            <w:shd w:fill="FEE2E2" w:val="clear"/>
            <w:tcMar>
              <w:top w:type="dxa" w:w="140"/>
              <w:left w:type="dxa" w:w="120"/>
              <w:bottom w:type="dxa" w:w="140"/>
              <w:right w:type="dxa" w:w="120"/>
            </w:tcMar>
          </w:tcPr>
          <w:p>
            <w:r>
              <w:rPr>
                <w:b/>
                <w:bCs/>
                <w:color w:val="991B1B"/>
                <w:sz w:val="15"/>
                <w:szCs w:val="15"/>
              </w:rPr>
              <w:t xml:space="preserve">Exception</w:t>
            </w:r>
          </w:p>
          <w:p>
            <w:pPr>
              <w:spacing w:before="30"/>
            </w:pPr>
            <w:r>
              <w:rPr>
                <w:i/>
                <w:iCs/>
                <w:color w:val="991B1B"/>
                <w:sz w:val="10"/>
                <w:szCs w:val="10"/>
              </w:rPr>
              <w:t xml:space="preserve">Non-Standard Resolution — human-resolved by nature</w:t>
            </w:r>
          </w:p>
          <w:p>
            <w:pPr>
              <w:spacing w:before="60"/>
            </w:pPr>
            <w:r>
              <w:rPr>
                <w:b/>
                <w:bCs/>
                <w:color w:val="991B1B"/>
                <w:sz w:val="15"/>
                <w:szCs w:val="15"/>
              </w:rPr>
              <w:t xml:space="preserve">1 L4 activities</w:t>
            </w:r>
          </w:p>
          <w:p>
            <w:pPr>
              <w:spacing w:before="40"/>
            </w:pPr>
            <w:r>
              <w:rPr>
                <w:color w:val="991B1B"/>
                <w:sz w:val="12"/>
                <w:szCs w:val="12"/>
              </w:rPr>
              <w:t xml:space="preserve">M1 95%  →  M3 82%</w:t>
            </w:r>
          </w:p>
        </w:tc>
      </w:tr>
    </w:tbl>
    <w:p>
      <w:pPr>
        <w:spacing w:after="40" w:before="260"/>
      </w:pPr>
      <w:r>
        <w:rPr>
          <w:b/>
          <w:bCs/>
          <w:color w:val="0D2D4F"/>
          <w:sz w:val="19"/>
          <w:szCs w:val="19"/>
        </w:rPr>
        <w:t xml:space="preserve">Process Accountability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3540"/>
        <w:gridCol w:w="2000"/>
      </w:tblGrid>
      <w:tr>
        <w:trPr>
          <w:tblHeader/>
        </w:trPr>
        <w:tc>
          <w:tcPr>
            <w:tcW w:type="pct" w:w="28.88%"/>
            <w:shd w:fill="1B4F8A" w:val="clear"/>
            <w:tcMar>
              <w:top w:type="dxa" w:w="60"/>
              <w:left w:type="dxa" w:w="140"/>
              <w:bottom w:type="dxa" w:w="60"/>
              <w:right w:type="dxa" w:w="60"/>
            </w:tcMar>
            <w:vAlign w:val="bottom"/>
          </w:tcPr>
          <w:p>
            <w:pPr>
              <w:jc w:val="left"/>
            </w:pPr>
            <w:r>
              <w:rPr>
                <w:b/>
                <w:bCs/>
                <w:color w:val="FFFFFF"/>
                <w:sz w:val="11"/>
                <w:szCs w:val="11"/>
              </w:rPr>
              <w:t xml:space="preserve">Process Accountability</w:t>
            </w:r>
          </w:p>
        </w:tc>
        <w:tc>
          <w:tcPr>
            <w:tcW w:type="pct" w:w="15.94%"/>
            <w:shd w:fill="1B4F8A" w:val="clear"/>
            <w:tcMar>
              <w:top w:type="dxa" w:w="60"/>
              <w:left w:type="dxa" w:w="140"/>
              <w:bottom w:type="dxa" w:w="60"/>
              <w:right w:type="dxa" w:w="60"/>
            </w:tcMar>
            <w:vAlign w:val="bottom"/>
          </w:tcPr>
          <w:p>
            <w:pPr>
              <w:jc w:val="center"/>
            </w:pPr>
            <w:r>
              <w:rPr>
                <w:b/>
                <w:bCs/>
                <w:color w:val="FFFFFF"/>
                <w:sz w:val="11"/>
                <w:szCs w:val="11"/>
              </w:rPr>
              <w:t xml:space="preserve">Tier</w:t>
            </w:r>
          </w:p>
        </w:tc>
        <w:tc>
          <w:tcPr>
            <w:tcW w:type="pct" w:w="35.26%"/>
            <w:shd w:fill="1B4F8A" w:val="clear"/>
            <w:tcMar>
              <w:top w:type="dxa" w:w="60"/>
              <w:left w:type="dxa" w:w="140"/>
              <w:bottom w:type="dxa" w:w="60"/>
              <w:right w:type="dxa" w:w="60"/>
            </w:tcMar>
            <w:vAlign w:val="bottom"/>
          </w:tcPr>
          <w:p>
            <w:pPr>
              <w:jc w:val="left"/>
            </w:pPr>
            <w:r>
              <w:rPr>
                <w:b/>
                <w:bCs/>
                <w:color w:val="FFFFFF"/>
                <w:sz w:val="11"/>
                <w:szCs w:val="11"/>
              </w:rPr>
              <w:t xml:space="preserve">L3 Processes</w:t>
            </w:r>
          </w:p>
        </w:tc>
        <w:tc>
          <w:tcPr>
            <w:tcW w:type="pct" w:w="19.92%"/>
            <w:shd w:fill="1B4F8A" w:val="clear"/>
            <w:tcMar>
              <w:top w:type="dxa" w:w="60"/>
              <w:left w:type="dxa" w:w="140"/>
              <w:bottom w:type="dxa" w:w="60"/>
              <w:right w:type="dxa" w:w="60"/>
            </w:tcMar>
            <w:vAlign w:val="bottom"/>
          </w:tcPr>
          <w:p>
            <w:pPr>
              <w:jc w:val="center"/>
            </w:pPr>
            <w:r>
              <w:rPr>
                <w:b/>
                <w:bCs/>
                <w:color w:val="FFFFFF"/>
                <w:sz w:val="11"/>
                <w:szCs w:val="11"/>
              </w:rPr>
              <w:t xml:space="preserve">L4 Activities</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VP Controller</w:t>
            </w:r>
          </w:p>
        </w:tc>
        <w:tc>
          <w:tcPr>
            <w:tcW w:type="pct" w:w="15.94%"/>
            <w:tcBorders>
              <w:top w:val="single" w:color="7AAED6" w:sz="2"/>
              <w:left w:val="single" w:color="7AAED6" w:sz="2"/>
              <w:bottom w:val="single" w:color="7AAED6" w:sz="2"/>
              <w:right w:val="single" w:color="7AAED6" w:sz="2"/>
            </w:tcBorders>
            <w:shd w:fill="FEE2E2" w:val="clear"/>
            <w:tcMar>
              <w:top w:type="dxa" w:w="80"/>
              <w:left w:type="dxa" w:w="100"/>
              <w:bottom w:type="dxa" w:w="80"/>
              <w:right w:type="dxa" w:w="100"/>
            </w:tcMar>
            <w:vAlign w:val="top"/>
          </w:tcPr>
          <w:p>
            <w:pPr>
              <w:jc w:val="center"/>
            </w:pPr>
            <w:r>
              <w:rPr>
                <w:b/>
                <w:bCs/>
                <w:color w:val="991B1B"/>
                <w:sz w:val="12"/>
                <w:szCs w:val="12"/>
              </w:rPr>
              <w:t xml:space="preserve">Executive</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9.3.1, 9.3.4, 9.8.1</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18</w:t>
            </w:r>
          </w:p>
        </w:tc>
      </w:tr>
      <w:tr>
        <w:tc>
          <w:tcPr>
            <w:tcW w:type="pct" w:w="28.88%"/>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5"/>
                <w:szCs w:val="15"/>
              </w:rPr>
              <w:t xml:space="preserve">Director of Accounting</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666666"/>
                <w:sz w:val="13"/>
                <w:szCs w:val="13"/>
              </w:rPr>
              <w:t xml:space="preserve">9.3.2, 9.3.3</w:t>
            </w:r>
          </w:p>
        </w:tc>
        <w:tc>
          <w:tcPr>
            <w:tcW w:type="pct" w:w="19.92%"/>
            <w:tcBorders>
              <w:top w:val="single" w:color="7AAED6" w:sz="2"/>
              <w:left w:val="single" w:color="7AAED6" w:sz="2"/>
              <w:bottom w:val="single" w:color="7AAED6" w:sz="2"/>
              <w:right w:val="single" w:color="7AAED6" w:sz="2"/>
            </w:tcBorders>
            <w:shd w:fill="FAFBFD" w:val="clear"/>
            <w:tcMar>
              <w:top w:type="dxa" w:w="80"/>
              <w:left w:type="dxa" w:w="100"/>
              <w:bottom w:type="dxa" w:w="80"/>
              <w:right w:type="dxa" w:w="100"/>
            </w:tcMar>
            <w:vAlign w:val="top"/>
          </w:tcPr>
          <w:p>
            <w:pPr>
              <w:jc w:val="center"/>
            </w:pPr>
            <w:r>
              <w:rPr>
                <w:color w:val="444444"/>
                <w:sz w:val="15"/>
                <w:szCs w:val="15"/>
              </w:rPr>
              <w:t xml:space="preserve">18</w:t>
            </w:r>
          </w:p>
        </w:tc>
      </w:tr>
      <w:tr>
        <w:tc>
          <w:tcPr>
            <w:tcW w:type="pct" w:w="28.88%"/>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5"/>
                <w:szCs w:val="15"/>
              </w:rPr>
              <w:t xml:space="preserve">Internal Audit Manager</w:t>
            </w:r>
          </w:p>
        </w:tc>
        <w:tc>
          <w:tcPr>
            <w:tcW w:type="pct" w:w="15.94%"/>
            <w:tcBorders>
              <w:top w:val="single" w:color="7AAED6" w:sz="2"/>
              <w:left w:val="single" w:color="7AAED6" w:sz="2"/>
              <w:bottom w:val="single" w:color="7AAED6" w:sz="2"/>
              <w:right w:val="single" w:color="7AAED6" w:sz="2"/>
            </w:tcBorders>
            <w:shd w:fill="EEF3FA" w:val="clear"/>
            <w:tcMar>
              <w:top w:type="dxa" w:w="80"/>
              <w:left w:type="dxa" w:w="100"/>
              <w:bottom w:type="dxa" w:w="80"/>
              <w:right w:type="dxa" w:w="100"/>
            </w:tcMar>
            <w:vAlign w:val="top"/>
          </w:tcPr>
          <w:p>
            <w:pPr>
              <w:jc w:val="center"/>
            </w:pPr>
            <w:r>
              <w:rPr>
                <w:b/>
                <w:bCs/>
                <w:color w:val="1B4F8A"/>
                <w:sz w:val="12"/>
                <w:szCs w:val="12"/>
              </w:rPr>
              <w:t xml:space="preserve">Managerial</w:t>
            </w:r>
          </w:p>
        </w:tc>
        <w:tc>
          <w:tcPr>
            <w:tcW w:type="pct" w:w="35.26%"/>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666666"/>
                <w:sz w:val="13"/>
                <w:szCs w:val="13"/>
              </w:rPr>
              <w:t xml:space="preserve">9.8.2, 9.8.3</w:t>
            </w:r>
          </w:p>
        </w:tc>
        <w:tc>
          <w:tcPr>
            <w:tcW w:type="pct" w:w="19.92%"/>
            <w:tcBorders>
              <w:top w:val="single" w:color="7AAED6" w:sz="2"/>
              <w:left w:val="single" w:color="7AAED6" w:sz="2"/>
              <w:bottom w:val="single" w:color="7AAED6" w:sz="2"/>
              <w:right w:val="single" w:color="7AAED6" w:sz="2"/>
            </w:tcBorders>
            <w:shd w:fill="FFFFFF" w:val="clear"/>
            <w:tcMar>
              <w:top w:type="dxa" w:w="80"/>
              <w:left w:type="dxa" w:w="100"/>
              <w:bottom w:type="dxa" w:w="80"/>
              <w:right w:type="dxa" w:w="100"/>
            </w:tcMar>
            <w:vAlign w:val="top"/>
          </w:tcPr>
          <w:p>
            <w:pPr>
              <w:jc w:val="center"/>
            </w:pPr>
            <w:r>
              <w:rPr>
                <w:color w:val="444444"/>
                <w:sz w:val="15"/>
                <w:szCs w:val="15"/>
              </w:rPr>
              <w:t xml:space="preserve">6</w:t>
            </w:r>
          </w:p>
        </w:tc>
      </w:tr>
    </w:tbl>
    <w:p>
      <w:pPr>
        <w:spacing w:after="40" w:before="260"/>
      </w:pPr>
      <w:r>
        <w:rPr>
          <w:b/>
          <w:bCs/>
          <w:color w:val="0D2D4F"/>
          <w:sz w:val="19"/>
          <w:szCs w:val="19"/>
        </w:rPr>
        <w:t xml:space="preserve">Handoff Points</w:t>
      </w:r>
    </w:p>
    <w:p>
      <w:pPr>
        <w:spacing w:after="120"/>
      </w:pPr>
      <w:r>
        <w:rPr>
          <w:color w:val="444444"/>
          <w:sz w:val="18"/>
          <w:szCs w:val="18"/>
        </w:rPr>
        <w:t xml:space="preserve">Record-to-Report opens with VP Controller-accountable policy setting (9.3.1), then hands to Director of Accounting for the transactional core — general accounting and fixed-asset accounting (9.3.2, 9.3.3).</w:t>
      </w:r>
    </w:p>
    <w:p>
      <w:pPr>
        <w:spacing w:after="120"/>
      </w:pPr>
      <w:r>
        <w:rPr>
          <w:color w:val="444444"/>
          <w:sz w:val="18"/>
          <w:szCs w:val="18"/>
        </w:rPr>
        <w:t xml:space="preserve">Director of Accounting's postings and reconciliations feed VP Controller's financial reporting (9.3.4) — business-unit statements, consolidation, and board/regulatory filings.</w:t>
      </w:r>
    </w:p>
    <w:p>
      <w:pPr>
        <w:spacing w:after="160"/>
      </w:pPr>
      <w:r>
        <w:rPr>
          <w:color w:val="444444"/>
          <w:sz w:val="18"/>
          <w:szCs w:val="18"/>
        </w:rPr>
        <w:t xml:space="preserve">In parallel, Internal Audit Manager operates and reports on the internal controls VP Controller establishes (9.8.1) — monitoring control effectiveness, remediating deficiencies, and reporting compliance status (9.8.2, 9.8.3) back to VP Controller and the CFO.</w:t>
      </w:r>
    </w:p>
    <w:p>
      <w:pPr>
        <w:spacing w:after="40" w:before="260"/>
      </w:pPr>
      <w:r>
        <w:rPr>
          <w:b/>
          <w:bCs/>
          <w:color w:val="0D2D4F"/>
          <w:sz w:val="19"/>
          <w:szCs w:val="19"/>
        </w:rPr>
        <w:t xml:space="preserve">Governed Decision Points</w:t>
      </w:r>
    </w:p>
    <w:p>
      <w:pPr>
        <w:spacing w:after="100"/>
      </w:pPr>
      <w:r>
        <w:rPr>
          <w:color w:val="888888"/>
          <w:sz w:val="14"/>
          <w:szCs w:val="14"/>
        </w:rPr>
        <w:t xml:space="preserve">Every Decision/Exception-pattern activity in the value stream, including those embedded inside Mixed-labeled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0"/>
        <w:gridCol w:w="1900"/>
        <w:gridCol w:w="1400"/>
        <w:gridCol w:w="1900"/>
        <w:gridCol w:w="1460"/>
        <w:gridCol w:w="2600"/>
      </w:tblGrid>
      <w:tr>
        <w:trPr>
          <w:tblHeader/>
        </w:trPr>
        <w:tc>
          <w:tcPr>
            <w:tcW w:type="pct" w:w="7.77%"/>
            <w:shd w:fill="1B4F8A" w:val="clear"/>
            <w:tcMar>
              <w:top w:type="dxa" w:w="60"/>
              <w:left w:type="dxa" w:w="140"/>
              <w:bottom w:type="dxa" w:w="60"/>
              <w:right w:type="dxa" w:w="60"/>
            </w:tcMar>
            <w:vAlign w:val="bottom"/>
          </w:tcPr>
          <w:p>
            <w:pPr>
              <w:jc w:val="left"/>
            </w:pPr>
            <w:r>
              <w:rPr>
                <w:b/>
                <w:bCs/>
                <w:color w:val="FFFFFF"/>
                <w:sz w:val="11"/>
                <w:szCs w:val="11"/>
              </w:rPr>
              <w:t xml:space="preserve">PCF</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Decision</w:t>
            </w:r>
          </w:p>
        </w:tc>
        <w:tc>
          <w:tcPr>
            <w:tcW w:type="pct" w:w="13.94%"/>
            <w:shd w:fill="1B4F8A" w:val="clear"/>
            <w:tcMar>
              <w:top w:type="dxa" w:w="60"/>
              <w:left w:type="dxa" w:w="140"/>
              <w:bottom w:type="dxa" w:w="60"/>
              <w:right w:type="dxa" w:w="60"/>
            </w:tcMar>
            <w:vAlign w:val="bottom"/>
          </w:tcPr>
          <w:p>
            <w:pPr>
              <w:jc w:val="left"/>
            </w:pPr>
            <w:r>
              <w:rPr>
                <w:b/>
                <w:bCs/>
                <w:color w:val="FFFFFF"/>
                <w:sz w:val="11"/>
                <w:szCs w:val="11"/>
              </w:rPr>
              <w:t xml:space="preserve">Authority</w:t>
            </w:r>
          </w:p>
        </w:tc>
        <w:tc>
          <w:tcPr>
            <w:tcW w:type="pct" w:w="18.92%"/>
            <w:shd w:fill="1B4F8A" w:val="clear"/>
            <w:tcMar>
              <w:top w:type="dxa" w:w="60"/>
              <w:left w:type="dxa" w:w="140"/>
              <w:bottom w:type="dxa" w:w="60"/>
              <w:right w:type="dxa" w:w="60"/>
            </w:tcMar>
            <w:vAlign w:val="bottom"/>
          </w:tcPr>
          <w:p>
            <w:pPr>
              <w:jc w:val="left"/>
            </w:pPr>
            <w:r>
              <w:rPr>
                <w:b/>
                <w:bCs/>
                <w:color w:val="FFFFFF"/>
                <w:sz w:val="11"/>
                <w:szCs w:val="11"/>
              </w:rPr>
              <w:t xml:space="preserve">Impact</w:t>
            </w:r>
          </w:p>
        </w:tc>
        <w:tc>
          <w:tcPr>
            <w:tcW w:type="pct" w:w="14.54%"/>
            <w:shd w:fill="1B4F8A" w:val="clear"/>
            <w:tcMar>
              <w:top w:type="dxa" w:w="60"/>
              <w:left w:type="dxa" w:w="140"/>
              <w:bottom w:type="dxa" w:w="60"/>
              <w:right w:type="dxa" w:w="60"/>
            </w:tcMar>
            <w:vAlign w:val="bottom"/>
          </w:tcPr>
          <w:p>
            <w:pPr>
              <w:jc w:val="left"/>
            </w:pPr>
            <w:r>
              <w:rPr>
                <w:b/>
                <w:bCs/>
                <w:color w:val="FFFFFF"/>
                <w:sz w:val="11"/>
                <w:szCs w:val="11"/>
              </w:rPr>
              <w:t xml:space="preserve">Escalates To</w:t>
            </w:r>
          </w:p>
        </w:tc>
        <w:tc>
          <w:tcPr>
            <w:tcW w:type="pct" w:w="25.9%"/>
            <w:shd w:fill="1B4F8A" w:val="clear"/>
            <w:tcMar>
              <w:top w:type="dxa" w:w="60"/>
              <w:left w:type="dxa" w:w="140"/>
              <w:bottom w:type="dxa" w:w="60"/>
              <w:right w:type="dxa" w:w="60"/>
            </w:tcMar>
            <w:vAlign w:val="bottom"/>
          </w:tcPr>
          <w:p>
            <w:pPr>
              <w:jc w:val="left"/>
            </w:pPr>
            <w:r>
              <w:rPr>
                <w:b/>
                <w:bCs/>
                <w:color w:val="FFFFFF"/>
                <w:sz w:val="11"/>
                <w:szCs w:val="11"/>
              </w:rPr>
              <w:t xml:space="preserve">Trigger</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9.3.1.4</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Set and enforce approval limits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VP Controller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Financial — establishes enterprise-wide spending and approval authority thresholds</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Proposed threshold change affects enterprise-wide delegation-of-authority policy</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9.8.1.1</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Establish board of directors and audit committee</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VP Controller</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Governance — defines the board-level oversight structure for internal controls</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Board or audit committee composition/charter change requires CFO and board-level ratification</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9.8.1.3</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Assign roles and responsibility for internal controls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VP Controller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Governance — allocates control ownership across the finance organization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Control ownership reassignment crosses department boundaries or removes an existing control owner's Accountable status</w:t>
            </w:r>
          </w:p>
        </w:tc>
      </w:tr>
      <w:tr>
        <w:tc>
          <w:tcPr>
            <w:tcW w:type="pct" w:w="7.77%"/>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000000"/>
                <w:sz w:val="13"/>
                <w:szCs w:val="13"/>
              </w:rPr>
              <w:t xml:space="preserve">9.8.1.5</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Define entity/unit risk tolerances</w:t>
            </w:r>
          </w:p>
        </w:tc>
        <w:tc>
          <w:tcPr>
            <w:tcW w:type="pct" w:w="13.9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VP Controller</w:t>
            </w:r>
          </w:p>
        </w:tc>
        <w:tc>
          <w:tcPr>
            <w:tcW w:type="pct" w:w="18.92%"/>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Strategic + Compliance — sets the risk appetite internal controls are calibrated against</w:t>
            </w:r>
          </w:p>
        </w:tc>
        <w:tc>
          <w:tcPr>
            <w:tcW w:type="pct" w:w="14.54%"/>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CFO (Executive)</w:t>
            </w:r>
          </w:p>
        </w:tc>
        <w:tc>
          <w:tcPr>
            <w:tcW w:type="pct" w:w="25.9%"/>
            <w:tcBorders>
              <w:top w:val="single" w:color="7AAED6" w:sz="2"/>
              <w:left w:val="single" w:color="7AAED6" w:sz="2"/>
              <w:bottom w:val="single" w:color="7AAED6" w:sz="2"/>
              <w:right w:val="single" w:color="7AAED6" w:sz="2"/>
            </w:tcBorders>
            <w:shd w:fill="FAFBFD" w:val="clear"/>
            <w:tcMar>
              <w:top w:type="dxa" w:w="80"/>
              <w:left w:type="dxa" w:w="140"/>
              <w:bottom w:type="dxa" w:w="80"/>
              <w:right w:type="dxa" w:w="100"/>
            </w:tcMar>
            <w:vAlign w:val="top"/>
          </w:tcPr>
          <w:p>
            <w:r>
              <w:rPr>
                <w:color w:val="444444"/>
                <w:sz w:val="13"/>
                <w:szCs w:val="13"/>
              </w:rPr>
              <w:t xml:space="preserve">Proposed risk tolerance falls outside the enterprise risk appetite the CFO and board have approved</w:t>
            </w:r>
          </w:p>
        </w:tc>
      </w:tr>
      <w:tr>
        <w:tc>
          <w:tcPr>
            <w:tcW w:type="pct" w:w="7.77%"/>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000000"/>
                <w:sz w:val="13"/>
                <w:szCs w:val="13"/>
              </w:rPr>
              <w:t xml:space="preserve">9.8.2.2</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Remediate control deficiencies</w:t>
            </w:r>
          </w:p>
        </w:tc>
        <w:tc>
          <w:tcPr>
            <w:tcW w:type="pct" w:w="13.9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Internal Audit Manager</w:t>
            </w:r>
          </w:p>
        </w:tc>
        <w:tc>
          <w:tcPr>
            <w:tcW w:type="pct" w:w="18.92%"/>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Compliance — closes a confirmed gap in internal control design or operation</w:t>
            </w:r>
          </w:p>
        </w:tc>
        <w:tc>
          <w:tcPr>
            <w:tcW w:type="pct" w:w="14.54%"/>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VP Controller (Executive)</w:t>
            </w:r>
          </w:p>
        </w:tc>
        <w:tc>
          <w:tcPr>
            <w:tcW w:type="pct" w:w="25.9%"/>
            <w:tcBorders>
              <w:top w:val="single" w:color="7AAED6" w:sz="2"/>
              <w:left w:val="single" w:color="7AAED6" w:sz="2"/>
              <w:bottom w:val="single" w:color="7AAED6" w:sz="2"/>
              <w:right w:val="single" w:color="7AAED6" w:sz="2"/>
            </w:tcBorders>
            <w:shd w:fill="FFFFFF" w:val="clear"/>
            <w:tcMar>
              <w:top w:type="dxa" w:w="80"/>
              <w:left w:type="dxa" w:w="140"/>
              <w:bottom w:type="dxa" w:w="80"/>
              <w:right w:type="dxa" w:w="100"/>
            </w:tcMar>
            <w:vAlign w:val="top"/>
          </w:tcPr>
          <w:p>
            <w:r>
              <w:rPr>
                <w:color w:val="444444"/>
                <w:sz w:val="13"/>
                <w:szCs w:val="13"/>
              </w:rPr>
              <w:t xml:space="preserve">Deficiency is classified as a significant deficiency or material weakness under SOX/COSO criteria</w:t>
            </w:r>
          </w:p>
        </w:tc>
      </w:tr>
    </w:tbl>
    <w:p>
      <w:pPr>
        <w:spacing w:before="260"/>
      </w:pPr>
      <w:r>
        <w:rPr>
          <w:i/>
          <w:iCs/>
          <w:color w:val="888888"/>
          <w:sz w:val="13"/>
          <w:szCs w:val="13"/>
        </w:rPr>
        <w:t xml:space="preserve">© Timothy P. King 2026 · developed with the assistance of Claude (Anthropic)</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3"/>
        <w:szCs w:val="13"/>
      </w:rPr>
      <w:t xml:space="preserve">Page </w:t>
    </w:r>
    <w:r>
      <w:rPr>
        <w:color w:val="888888"/>
        <w:sz w:val="13"/>
        <w:szCs w:val="13"/>
      </w:rPr>
      <w:fldChar w:fldCharType="begin"/>
      <w:instrText xml:space="preserve">PAGE</w:instrText>
      <w:fldChar w:fldCharType="separate"/>
      <w:fldChar w:fldCharType="end"/>
    </w:r>
    <w:r>
      <w:rPr>
        <w:color w:val="888888"/>
        <w:sz w:val="13"/>
        <w:szCs w:val="13"/>
      </w:rPr>
      <w:t xml:space="preserve"> of </w:t>
    </w:r>
    <w:r>
      <w:rPr>
        <w:color w:val="888888"/>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
    </w:pPr>
    <w:r>
      <w:rPr>
        <w:b/>
        <w:bCs/>
        <w:color w:val="1B4F8A"/>
        <w:sz w:val="13"/>
        <w:szCs w:val="13"/>
      </w:rPr>
      <w:t xml:space="preserve">The Human-AI Partnership Framework</w:t>
    </w:r>
  </w:p>
  <w:p>
    <w:r>
      <w:rPr>
        <w:i/>
        <w:iCs/>
        <w:color w:val="888888"/>
        <w:sz w:val="13"/>
        <w:szCs w:val="13"/>
      </w:rPr>
      <w:t xml:space="preserve">PCF 9.3, 9.8 — Record-to-Report — Value Stream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2026-08-18T22:40:16.044Z</dcterms:created>
  <dcterms:modified xsi:type="dcterms:W3CDTF">2026-08-18T22:40:16.044Z</dcterms:modified>
</cp:coreProperties>
</file>

<file path=docProps/custom.xml><?xml version="1.0" encoding="utf-8"?>
<Properties xmlns="http://schemas.openxmlformats.org/officeDocument/2006/custom-properties" xmlns:vt="http://schemas.openxmlformats.org/officeDocument/2006/docPropsVTypes"/>
</file>