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Risk-to-Resilience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PCF 8.3 — Security, compliance, continuity &amp; identity — Value Stream Profile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This value stream comprises one APQC PCF process group: 8.3 Develop and Manage IT Resilience and Risk — spanning 8 Level 3 processes and 53 Level 4 activities, the largest value stream in PCF 8.0 by activity count.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At the activity level, this value stream's work breaks down as 24 Knowledge activities (judgment, synthesis, and interpretation-driven work), 18 Transaction activities (rules-based processing suited to automation), 4 Decision activities, 4 Document activities, and 3 Exception activities — the widest pattern spread of any PCF 8.0 value stream.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the value stream's aggregate human-involvement ratio is 55%, down from a 77% undesigned baseline — a 22-point AI convergence opportunity.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2008"/>
        <w:gridCol w:w="2008"/>
        <w:gridCol w:w="2008"/>
        <w:gridCol w:w="2008"/>
      </w:tblGrid>
      <w:tr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8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53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77%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55%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30"/>
        <w:gridCol w:w="2510"/>
      </w:tblGrid>
      <w:tr>
        <w:trPr>
          <w:tblHeader/>
        </w:trPr>
        <w:tc>
          <w:tcPr>
            <w:tcW w:type="pct" w:w="7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Business Impact Metric &amp; Formula (where confirmed)</w:t>
            </w:r>
          </w:p>
        </w:tc>
        <w:tc>
          <w:tcPr>
            <w:tcW w:type="pct" w:w="2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Source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IT resilience/risk cost ratio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% of IT operating costs (excl. depreciation/amortization) dedicated to Manage IT Resilience and Risk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APQC OSB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Mean Time to Detect (MTTD)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Total time between incident start and detection, summed across incidents ÷ number of incidents in the period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NIST SP 800-61r2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Mean Time to Respond (MTTR)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Average time from detection to containment of a security incident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NIST SP 800-61r2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% critical vulnerabilities remediated within SLA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Critical/high vulnerabilities remediated within the policy-defined window ÷ total critical/high vulnerabilities identified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NIST SP 800-55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Design Narrative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Risk-to-Resilience follows the same apex pattern as IT Vision-to-Strategy and Data-to-Insight: 8.3.1 (Develop IT compliance, risk, and security strategy) is CISO's own strategy-formation L3, with Director of Cybersecurity holding Accountable for the remaining 7 of 8 L3s — the strongest single-role concentration below the Executive apex of any PCF 8.0 value stream. Cybersecurity Analyst carries Responsible across most of that work, a consistent Managerial-owns/Operational-executes pattern throughout. This is the largest value stream in PCF 8.0 by both L3 count (8) and activity count (53), and carries the widest pattern spread in the domain — all five patterns appear, including 3 of PCF 8.0's total Exception-pattern activities clustered in threat detection/response (8.3.5.7), compliance escalation (8.3.6.4), and breach response (8.3.8.6). Its steepest AI-absorption opportunity sits in 8.3.3.4 (Create and maintain IT security policies, standards, and procedures, Document-pattern, -32 points).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AI Capability Map</w:t>
      </w:r>
    </w:p>
    <w:p>
      <w:pPr>
        <w:spacing w:after="120"/>
      </w:pPr>
      <w:r>
        <w:rPr>
          <w:color w:val="888888"/>
          <w:sz w:val="14"/>
          <w:szCs w:val="14"/>
        </w:rPr>
        <w:t xml:space="preserve">Pattern-type distribution across this value stream's activity units. H% figures are the pattern type's standard value at each maturity level, applied consistently across all PCF domains.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00"/>
        <w:gridCol w:w="1928"/>
        <w:gridCol w:w="100"/>
        <w:gridCol w:w="1928"/>
        <w:gridCol w:w="100"/>
        <w:gridCol w:w="1928"/>
        <w:gridCol w:w="100"/>
        <w:gridCol w:w="1928"/>
      </w:tblGrid>
      <w:tr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B4F8A"/>
                <w:sz w:val="15"/>
                <w:szCs w:val="15"/>
              </w:rPr>
              <w:t xml:space="preserve">Decision</w:t>
            </w:r>
          </w:p>
          <w:p>
            <w:pPr>
              <w:spacing w:before="30"/>
            </w:pPr>
            <w:r>
              <w:rPr>
                <w:i/>
                <w:iCs/>
                <w:color w:val="1B4F8A"/>
                <w:sz w:val="10"/>
                <w:szCs w:val="10"/>
              </w:rPr>
              <w:t xml:space="preserve">Judgment &amp; Authority — gates that stay human by design</w:t>
            </w:r>
          </w:p>
          <w:p>
            <w:pPr>
              <w:spacing w:before="60"/>
            </w:pPr>
            <w:r>
              <w:rPr>
                <w:b/>
                <w:bCs/>
                <w:color w:val="1B4F8A"/>
                <w:sz w:val="15"/>
                <w:szCs w:val="15"/>
              </w:rPr>
              <w:t xml:space="preserve">4 L4 activities</w:t>
            </w:r>
          </w:p>
          <w:p>
            <w:pPr>
              <w:spacing w:before="40"/>
            </w:pPr>
            <w:r>
              <w:rPr>
                <w:color w:val="1B4F8A"/>
                <w:sz w:val="12"/>
                <w:szCs w:val="12"/>
              </w:rPr>
              <w:t xml:space="preserve">M1 92%  →  M3 80%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0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534AB7"/>
                <w:sz w:val="15"/>
                <w:szCs w:val="15"/>
              </w:rPr>
              <w:t xml:space="preserve">Knowledge</w:t>
            </w:r>
          </w:p>
          <w:p>
            <w:pPr>
              <w:spacing w:before="30"/>
            </w:pPr>
            <w:r>
              <w:rPr>
                <w:i/>
                <w:iCs/>
                <w:color w:val="534AB7"/>
                <w:sz w:val="10"/>
                <w:szCs w:val="10"/>
              </w:rPr>
              <w:t xml:space="preserve">Synthesis &amp; Interpretation — judgment-driven work</w:t>
            </w:r>
          </w:p>
          <w:p>
            <w:pPr>
              <w:spacing w:before="60"/>
            </w:pPr>
            <w:r>
              <w:rPr>
                <w:b/>
                <w:bCs/>
                <w:color w:val="534AB7"/>
                <w:sz w:val="15"/>
                <w:szCs w:val="15"/>
              </w:rPr>
              <w:t xml:space="preserve">24 L4 activities</w:t>
            </w:r>
          </w:p>
          <w:p>
            <w:pPr>
              <w:spacing w:before="40"/>
            </w:pPr>
            <w:r>
              <w:rPr>
                <w:color w:val="534AB7"/>
                <w:sz w:val="12"/>
                <w:szCs w:val="12"/>
              </w:rPr>
              <w:t xml:space="preserve">M1 85%  →  M3 65%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0369A1"/>
                <w:sz w:val="15"/>
                <w:szCs w:val="15"/>
              </w:rPr>
              <w:t xml:space="preserve">Document</w:t>
            </w:r>
          </w:p>
          <w:p>
            <w:pPr>
              <w:spacing w:before="30"/>
            </w:pPr>
            <w:r>
              <w:rPr>
                <w:i/>
                <w:iCs/>
                <w:color w:val="0369A1"/>
                <w:sz w:val="10"/>
                <w:szCs w:val="10"/>
              </w:rPr>
              <w:t xml:space="preserve">Content Generation — drafting and communication</w:t>
            </w:r>
          </w:p>
          <w:p>
            <w:pPr>
              <w:spacing w:before="60"/>
            </w:pPr>
            <w:r>
              <w:rPr>
                <w:b/>
                <w:bCs/>
                <w:color w:val="0369A1"/>
                <w:sz w:val="15"/>
                <w:szCs w:val="15"/>
              </w:rPr>
              <w:t xml:space="preserve">4 L4 activities</w:t>
            </w:r>
          </w:p>
          <w:p>
            <w:pPr>
              <w:spacing w:before="40"/>
            </w:pPr>
            <w:r>
              <w:rPr>
                <w:color w:val="0369A1"/>
                <w:sz w:val="12"/>
                <w:szCs w:val="12"/>
              </w:rPr>
              <w:t xml:space="preserve">M1 72%  →  M3 40%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FCE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66534"/>
                <w:sz w:val="15"/>
                <w:szCs w:val="15"/>
              </w:rPr>
              <w:t xml:space="preserve">Transaction</w:t>
            </w:r>
          </w:p>
          <w:p>
            <w:pPr>
              <w:spacing w:before="30"/>
            </w:pPr>
            <w:r>
              <w:rPr>
                <w:i/>
                <w:iCs/>
                <w:color w:val="166534"/>
                <w:sz w:val="10"/>
                <w:szCs w:val="10"/>
              </w:rPr>
              <w:t xml:space="preserve">Rules-Based Processing — suited to automation</w:t>
            </w:r>
          </w:p>
          <w:p>
            <w:pPr>
              <w:spacing w:before="60"/>
            </w:pPr>
            <w:r>
              <w:rPr>
                <w:b/>
                <w:bCs/>
                <w:color w:val="166534"/>
                <w:sz w:val="15"/>
                <w:szCs w:val="15"/>
              </w:rPr>
              <w:t xml:space="preserve">18 L4 activities</w:t>
            </w:r>
          </w:p>
          <w:p>
            <w:pPr>
              <w:spacing w:before="40"/>
            </w:pPr>
            <w:r>
              <w:rPr>
                <w:color w:val="166534"/>
                <w:sz w:val="12"/>
                <w:szCs w:val="12"/>
              </w:rPr>
              <w:t xml:space="preserve">M1 60%  →  M3 35%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E2E2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991B1B"/>
                <w:sz w:val="15"/>
                <w:szCs w:val="15"/>
              </w:rPr>
              <w:t xml:space="preserve">Exception</w:t>
            </w:r>
          </w:p>
          <w:p>
            <w:pPr>
              <w:spacing w:before="30"/>
            </w:pPr>
            <w:r>
              <w:rPr>
                <w:i/>
                <w:iCs/>
                <w:color w:val="991B1B"/>
                <w:sz w:val="10"/>
                <w:szCs w:val="10"/>
              </w:rPr>
              <w:t xml:space="preserve">Non-Standard Resolution — human-resolved by nature</w:t>
            </w:r>
          </w:p>
          <w:p>
            <w:pPr>
              <w:spacing w:before="60"/>
            </w:pPr>
            <w:r>
              <w:rPr>
                <w:b/>
                <w:bCs/>
                <w:color w:val="991B1B"/>
                <w:sz w:val="15"/>
                <w:szCs w:val="15"/>
              </w:rPr>
              <w:t xml:space="preserve">3 L4 activities</w:t>
            </w:r>
          </w:p>
          <w:p>
            <w:pPr>
              <w:spacing w:before="40"/>
            </w:pPr>
            <w:r>
              <w:rPr>
                <w:color w:val="991B1B"/>
                <w:sz w:val="12"/>
                <w:szCs w:val="12"/>
              </w:rPr>
              <w:t xml:space="preserve">M1 95%  →  M3 82%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Process Accountability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540"/>
        <w:gridCol w:w="2000"/>
      </w:tblGrid>
      <w:tr>
        <w:trPr>
          <w:tblHeader/>
        </w:trPr>
        <w:tc>
          <w:tcPr>
            <w:tcW w:type="pct" w:w="28.88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Process Accountability</w:t>
            </w:r>
          </w:p>
        </w:tc>
        <w:tc>
          <w:tcPr>
            <w:tcW w:type="pct" w:w="15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Tier</w:t>
            </w:r>
          </w:p>
        </w:tc>
        <w:tc>
          <w:tcPr>
            <w:tcW w:type="pct" w:w="35.2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L3 Processes</w:t>
            </w:r>
          </w:p>
        </w:tc>
        <w:tc>
          <w:tcPr>
            <w:tcW w:type="pct" w:w="19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L4 Activities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CISO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2"/>
                <w:szCs w:val="12"/>
              </w:rPr>
              <w:t xml:space="preserve">Executive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8.3.1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Director of Cybersecurity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2"/>
                <w:szCs w:val="12"/>
              </w:rPr>
              <w:t xml:space="preserve">Managerial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8.3.2, 8.3.3, 8.3.4, 8.3.5, 8.3.6, 8.3.7, 8.3.8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43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Handoff Points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The stream opens with CISO-accountable strategy formation (8.3.1), then hands to Director of Cybersecurity for the remaining seven L3s — resilience strategy (8.3.2), risk/compliance/security control (8.3.3), continuity planning (8.3.4), security/privacy/data protection (8.3.5), compliance assessment (8.3.6), resilience and continuity operations (8.3.7), and identity/authorization management (8.3.8).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Cybersecurity Analyst carries Responsible across most of Director of Cybersecurity's lane, with the stream's three Exception-pattern activities — threat detection and response (8.3.5.7), compliance escalation (8.3.6.4), and breach response (8.3.8.6) — marking where routine monitoring hands off to non-standard, judgment-driven resolution.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Governed Decision Points</w:t>
      </w:r>
    </w:p>
    <w:p>
      <w:pPr>
        <w:spacing w:after="100"/>
      </w:pPr>
      <w:r>
        <w:rPr>
          <w:color w:val="888888"/>
          <w:sz w:val="14"/>
          <w:szCs w:val="14"/>
        </w:rPr>
        <w:t xml:space="preserve">Every Decision/Exception-pattern activity in the value stream, including those embedded inside Mixed-labeled steps.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900"/>
        <w:gridCol w:w="1400"/>
        <w:gridCol w:w="1900"/>
        <w:gridCol w:w="1460"/>
        <w:gridCol w:w="2600"/>
      </w:tblGrid>
      <w:tr>
        <w:trPr>
          <w:tblHeader/>
        </w:trPr>
        <w:tc>
          <w:tcPr>
            <w:tcW w:type="pct" w:w="7.77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Decision</w:t>
            </w:r>
          </w:p>
        </w:tc>
        <w:tc>
          <w:tcPr>
            <w:tcW w:type="pct" w:w="13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Authority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Impact</w:t>
            </w:r>
          </w:p>
        </w:tc>
        <w:tc>
          <w:tcPr>
            <w:tcW w:type="pct" w:w="14.5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Escalates To</w:t>
            </w:r>
          </w:p>
        </w:tc>
        <w:tc>
          <w:tcPr>
            <w:tcW w:type="pct" w:w="25.9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Trigger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8.3.1.3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Establish IT risk tolerance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Strategic — sets the domain's acceptable risk posture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CEO / Board (outside the IT role catalog)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Risk tolerance decision has enterprise-wide financial or regulatory exposure implications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8.3.1.4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Establish risk ownership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Governance — assigns accountability for IT risk categories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CEO / Board (outside the IT role catalog)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Ownership assignment spans multiple business units or existing role catalog gaps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8.3.1.6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Establish compliance objectives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Strategic + Regulatory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CEO / Board (outside the IT role catalog)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Objectives involve new regulatory scope or conflict with existing enterprise compliance commitments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8.3.2.3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Prioritize IT risks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Director of Cybersecurity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Strategic + Operational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Risk prioritization affects enterprise-level resource allocation or conflicts with CISO-set risk tolerance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8.3.5.7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Monitor/analyze network intrusion detection data and resolve threats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Director of Cybersecurity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Operational + Security — direct breach risk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Detected threat indicates active compromise or exceeds standard incident-response procedures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8.3.6.4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Identify and escalate IT compliance issues and remediation requirements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Director of Cybersecurity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Regulatory + Reputational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Compliance issue involves potential regulatory violation or requires enterprise-level remediation budget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8.3.8.6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Respond to IT information security and network breaches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Director of Cybersecurity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Security + Reputational + Regulatory — the domain's highest-severity incident type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CISO / CEO / Board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Confirmed breach with data exposure, regulatory notification requirements, or material business impact</w:t>
            </w:r>
          </w:p>
        </w:tc>
      </w:tr>
    </w:tbl>
    <w:p>
      <w:pPr>
        <w:spacing w:before="260"/>
      </w:pPr>
      <w:r>
        <w:rPr>
          <w:i/>
          <w:iCs/>
          <w:color w:val="888888"/>
          <w:sz w:val="13"/>
          <w:szCs w:val="13"/>
        </w:rPr>
        <w:t xml:space="preserve">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8.3 — Risk-to-Resilience — Value Stream Profile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2026-08-09T12:47:34.997Z</dcterms:created>
  <dcterms:modified xsi:type="dcterms:W3CDTF">2026-08-09T12:47:34.998Z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