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pct" w:w="1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D4F" w:val="clear"/>
            <w:tcMar>
              <w:top w:type="dxa" w:w="22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8"/>
                <w:szCs w:val="28"/>
              </w:rPr>
              <w:t xml:space="preserve">The Human-AI Partnership Framework</w:t>
            </w:r>
          </w:p>
          <w:p>
            <w:pPr>
              <w:jc w:val="center"/>
            </w:pPr>
            <w:r>
              <w:rPr>
                <w:i/>
                <w:iCs/>
                <w:color w:val="9FC2EE"/>
                <w:sz w:val="16"/>
                <w:szCs w:val="16"/>
              </w:rPr>
              <w:t xml:space="preserve">Where human judgment belongs</w:t>
            </w:r>
          </w:p>
        </w:tc>
      </w:tr>
    </w:tbl>
    <w:p>
      <w:pPr>
        <w:spacing w:after="40" w:before="220"/>
      </w:pPr>
      <w:r>
        <w:rPr>
          <w:rFonts w:ascii="Georgia" w:cs="Georgia" w:eastAsia="Georgia" w:hAnsi="Georgia"/>
          <w:b/>
          <w:bCs/>
          <w:color w:val="0D2D4F"/>
          <w:sz w:val="30"/>
          <w:szCs w:val="30"/>
        </w:rPr>
        <w:t xml:space="preserve">Treasury &amp; Risk</w:t>
      </w:r>
    </w:p>
    <w:p>
      <w:pPr>
        <w:spacing w:after="200"/>
      </w:pPr>
      <w:r>
        <w:rPr>
          <w:i/>
          <w:iCs/>
          <w:color w:val="888888"/>
          <w:sz w:val="17"/>
          <w:szCs w:val="17"/>
        </w:rPr>
        <w:t xml:space="preserve">PCF 9.7 — Cash, debt/investment, hedging &amp; fraud/dispute — Value Stream Profile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This value stream comprises one APQC PCF process group: 9.7 Manage Treasury Operations — spanning 6 Level 3 processes and 38 Level 4 activities, PCF 9.0's second-largest value stream by both measures, behind Record-to-Report.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At the activity level, this value stream's work breaks down as 20 Transaction activities, 14 Knowledge activities — the highest concentration of any PCF 9.0 value stream — 2 Document activities, 1 Decision activity, and 1 Exception activity.</w:t>
      </w:r>
    </w:p>
    <w:p>
      <w:pPr>
        <w:spacing w:after="200"/>
      </w:pPr>
      <w:r>
        <w:rPr>
          <w:color w:val="444444"/>
          <w:sz w:val="18"/>
          <w:szCs w:val="18"/>
        </w:rPr>
        <w:t xml:space="preserve">At M3 (HITL Design Intent), the value stream's aggregate human-involvement ratio is 54%, down from a 75% undesigned baseline — a 21-point AI convergence opportunity, tied with Acquire-to-Retire as the shallowest in PCF 9.0.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8"/>
        <w:gridCol w:w="2008"/>
        <w:gridCol w:w="2008"/>
        <w:gridCol w:w="2008"/>
        <w:gridCol w:w="2008"/>
      </w:tblGrid>
      <w:tr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L3 PROCESSES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6</w:t>
            </w:r>
          </w:p>
        </w:tc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L4 ACTIVITIES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38</w:t>
            </w:r>
          </w:p>
        </w:tc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M1 BASELINE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75%</w:t>
            </w:r>
          </w:p>
        </w:tc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M3 DESIGN INTENT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54%</w:t>
            </w:r>
          </w:p>
        </w:tc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Δ M1 → M3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-21%</w:t>
            </w:r>
          </w:p>
        </w:tc>
      </w:tr>
    </w:tbl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KPIs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30"/>
        <w:gridCol w:w="2510"/>
      </w:tblGrid>
      <w:tr>
        <w:trPr>
          <w:tblHeader/>
        </w:trPr>
        <w:tc>
          <w:tcPr>
            <w:tcW w:type="pct" w:w="75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Business Impact Metric &amp; Formula (where confirmed)</w:t>
            </w:r>
          </w:p>
        </w:tc>
        <w:tc>
          <w:tcPr>
            <w:tcW w:type="pct" w:w="25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Source</w:t>
            </w:r>
          </w:p>
        </w:tc>
      </w:tr>
      <w:tr>
        <w:tc>
          <w:tcPr>
            <w:tcW w:type="pct" w:w="7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444444"/>
                <w:sz w:val="15"/>
                <w:szCs w:val="15"/>
              </w:rPr>
              <w:t xml:space="preserve">Cash forecast accuracy</w:t>
            </w:r>
          </w:p>
          <w:p>
            <w:r>
              <w:rPr>
                <w:i/>
                <w:iCs/>
                <w:color w:val="888888"/>
                <w:sz w:val="13"/>
                <w:szCs w:val="13"/>
              </w:rPr>
              <w:t xml:space="preserve">1 − |Forecasted cash position − Actual cash position| ÷ Actual cash position, at the 30-/90-day horizon</w:t>
            </w:r>
          </w:p>
        </w:tc>
        <w:tc>
          <w:tcPr>
            <w:tcW w:type="pct" w:w="2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888888"/>
                <w:sz w:val="14"/>
                <w:szCs w:val="14"/>
              </w:rPr>
              <w:t xml:space="preserve">AFP (Association for Financial Professionals)</w:t>
            </w:r>
          </w:p>
        </w:tc>
      </w:tr>
      <w:tr>
        <w:tc>
          <w:tcPr>
            <w:tcW w:type="pct" w:w="7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444444"/>
                <w:sz w:val="15"/>
                <w:szCs w:val="15"/>
              </w:rPr>
              <w:t xml:space="preserve">Bank fee ratio</w:t>
            </w:r>
          </w:p>
          <w:p>
            <w:r>
              <w:rPr>
                <w:i/>
                <w:iCs/>
                <w:color w:val="888888"/>
                <w:sz w:val="13"/>
                <w:szCs w:val="13"/>
              </w:rPr>
              <w:t xml:space="preserve">Total banking fees ÷ average daily cash balance under management</w:t>
            </w:r>
          </w:p>
        </w:tc>
        <w:tc>
          <w:tcPr>
            <w:tcW w:type="pct" w:w="2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888888"/>
                <w:sz w:val="14"/>
                <w:szCs w:val="14"/>
              </w:rPr>
              <w:t xml:space="preserve">AFP (Association for Financial Professionals)</w:t>
            </w:r>
          </w:p>
        </w:tc>
      </w:tr>
      <w:tr>
        <w:tc>
          <w:tcPr>
            <w:tcW w:type="pct" w:w="7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444444"/>
                <w:sz w:val="15"/>
                <w:szCs w:val="15"/>
              </w:rPr>
              <w:t xml:space="preserve">Hedge effectiveness ratio</w:t>
            </w:r>
          </w:p>
          <w:p>
            <w:r>
              <w:rPr>
                <w:i/>
                <w:iCs/>
                <w:color w:val="888888"/>
                <w:sz w:val="13"/>
                <w:szCs w:val="13"/>
              </w:rPr>
              <w:t xml:space="preserve">% of hedge positions meeting effectiveness-testing criteria under the designated hedge accounting method</w:t>
            </w:r>
          </w:p>
        </w:tc>
        <w:tc>
          <w:tcPr>
            <w:tcW w:type="pct" w:w="2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888888"/>
                <w:sz w:val="14"/>
                <w:szCs w:val="14"/>
              </w:rPr>
              <w:t xml:space="preserve">GARP (Global Association of Risk Professionals)</w:t>
            </w:r>
          </w:p>
        </w:tc>
      </w:tr>
      <w:tr>
        <w:tc>
          <w:tcPr>
            <w:tcW w:type="pct" w:w="7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444444"/>
                <w:sz w:val="15"/>
                <w:szCs w:val="15"/>
              </w:rPr>
              <w:t xml:space="preserve">Liquidity coverage margin</w:t>
            </w:r>
          </w:p>
          <w:p>
            <w:r>
              <w:rPr>
                <w:i/>
                <w:iCs/>
                <w:color w:val="888888"/>
                <w:sz w:val="13"/>
                <w:szCs w:val="13"/>
              </w:rPr>
              <w:t xml:space="preserve">Available committed liquidity ÷ 12-month projected cash outflow under a stress scenario</w:t>
            </w:r>
          </w:p>
        </w:tc>
        <w:tc>
          <w:tcPr>
            <w:tcW w:type="pct" w:w="2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888888"/>
                <w:sz w:val="14"/>
                <w:szCs w:val="14"/>
              </w:rPr>
              <w:t xml:space="preserve">AFP (Association for Financial Professionals)</w:t>
            </w:r>
          </w:p>
        </w:tc>
      </w:tr>
    </w:tbl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Design Narrative</w:t>
      </w:r>
    </w:p>
    <w:p>
      <w:pPr>
        <w:spacing w:after="160"/>
      </w:pPr>
      <w:r>
        <w:rPr>
          <w:color w:val="444444"/>
          <w:sz w:val="18"/>
          <w:szCs w:val="18"/>
        </w:rPr>
        <w:t xml:space="preserve">Treasury &amp; Risk is VP Treasury's stream in the same way Order-to-Cash is Director of Accounting's: Accountable for 5 of the stream's 6 L3s — treasury policy (9.7.1), cash management (9.7.2), in-house banking (9.7.3), debt and investment (9.7.4), and risk/hedging (9.7.5) — with only financial fraud/dispute case management (9.7.6) carved out to Internal Audit Manager as a compliance-investigation specialty. Despite VP Treasury holding Executive tier and Accountable ownership of the stream's own policy-setting L3 (9.7.1), this value stream classifies Operational rather than Strategy: the work itself — cash positioning, in-house banking, debt/investment execution, and hedge transactions — is treasury operations, not strategy formation, the same reasoning that keeps PCF 8.0's CISO-owned Risk-to-Resilience in Enablement rather than Strategy. This is PCF 9.0's second-largest value stream by L3 count (6, behind Record-to-Report's 7) and by activity count (38, behind Record-to-Report's 42), with the domain's highest concentration of Knowledge-pattern work (14 of 38 activities) — cash-flow forecasting, banking-relationship management, and hedging strategy all demand financial judgment that resists pure automation. Its steepest AI-absorption opportunity sits in 9.7.1.2 (Establish and publish treasury policies, Document-pattern, -32 points).</w:t>
      </w:r>
    </w:p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AI Capability Map</w:t>
      </w:r>
    </w:p>
    <w:p>
      <w:pPr>
        <w:spacing w:after="120"/>
      </w:pPr>
      <w:r>
        <w:rPr>
          <w:color w:val="888888"/>
          <w:sz w:val="14"/>
          <w:szCs w:val="14"/>
        </w:rPr>
        <w:t xml:space="preserve">Pattern-type distribution across this value stream's activity units. H% figures are the pattern type's standard value at each maturity level, applied consistently across all PCF domains.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00"/>
        <w:gridCol w:w="1928"/>
        <w:gridCol w:w="100"/>
        <w:gridCol w:w="1928"/>
        <w:gridCol w:w="100"/>
        <w:gridCol w:w="1928"/>
        <w:gridCol w:w="100"/>
        <w:gridCol w:w="1928"/>
      </w:tblGrid>
      <w:tr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1B4F8A"/>
                <w:sz w:val="15"/>
                <w:szCs w:val="15"/>
              </w:rPr>
              <w:t xml:space="preserve">Decision</w:t>
            </w:r>
          </w:p>
          <w:p>
            <w:pPr>
              <w:spacing w:before="30"/>
            </w:pPr>
            <w:r>
              <w:rPr>
                <w:i/>
                <w:iCs/>
                <w:color w:val="1B4F8A"/>
                <w:sz w:val="10"/>
                <w:szCs w:val="10"/>
              </w:rPr>
              <w:t xml:space="preserve">Judgment &amp; Authority — gates that stay human by design</w:t>
            </w:r>
          </w:p>
          <w:p>
            <w:pPr>
              <w:spacing w:before="60"/>
            </w:pPr>
            <w:r>
              <w:rPr>
                <w:b/>
                <w:bCs/>
                <w:color w:val="1B4F8A"/>
                <w:sz w:val="15"/>
                <w:szCs w:val="15"/>
              </w:rPr>
              <w:t xml:space="preserve">1 L4 activities</w:t>
            </w:r>
          </w:p>
          <w:p>
            <w:pPr>
              <w:spacing w:before="40"/>
            </w:pPr>
            <w:r>
              <w:rPr>
                <w:color w:val="1B4F8A"/>
                <w:sz w:val="12"/>
                <w:szCs w:val="12"/>
              </w:rPr>
              <w:t xml:space="preserve">M1 92%  →  M3 80%</w:t>
            </w:r>
          </w:p>
        </w:tc>
        <w:tc>
          <w:tcPr>
            <w:tcW w:type="pct" w:w="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0FE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534AB7"/>
                <w:sz w:val="15"/>
                <w:szCs w:val="15"/>
              </w:rPr>
              <w:t xml:space="preserve">Knowledge</w:t>
            </w:r>
          </w:p>
          <w:p>
            <w:pPr>
              <w:spacing w:before="30"/>
            </w:pPr>
            <w:r>
              <w:rPr>
                <w:i/>
                <w:iCs/>
                <w:color w:val="534AB7"/>
                <w:sz w:val="10"/>
                <w:szCs w:val="10"/>
              </w:rPr>
              <w:t xml:space="preserve">Synthesis &amp; Interpretation — judgment-driven work</w:t>
            </w:r>
          </w:p>
          <w:p>
            <w:pPr>
              <w:spacing w:before="60"/>
            </w:pPr>
            <w:r>
              <w:rPr>
                <w:b/>
                <w:bCs/>
                <w:color w:val="534AB7"/>
                <w:sz w:val="15"/>
                <w:szCs w:val="15"/>
              </w:rPr>
              <w:t xml:space="preserve">14 L4 activities</w:t>
            </w:r>
          </w:p>
          <w:p>
            <w:pPr>
              <w:spacing w:before="40"/>
            </w:pPr>
            <w:r>
              <w:rPr>
                <w:color w:val="534AB7"/>
                <w:sz w:val="12"/>
                <w:szCs w:val="12"/>
              </w:rPr>
              <w:t xml:space="preserve">M1 85%  →  M3 65%</w:t>
            </w:r>
          </w:p>
        </w:tc>
        <w:tc>
          <w:tcPr>
            <w:tcW w:type="pct" w:w="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E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0369A1"/>
                <w:sz w:val="15"/>
                <w:szCs w:val="15"/>
              </w:rPr>
              <w:t xml:space="preserve">Document</w:t>
            </w:r>
          </w:p>
          <w:p>
            <w:pPr>
              <w:spacing w:before="30"/>
            </w:pPr>
            <w:r>
              <w:rPr>
                <w:i/>
                <w:iCs/>
                <w:color w:val="0369A1"/>
                <w:sz w:val="10"/>
                <w:szCs w:val="10"/>
              </w:rPr>
              <w:t xml:space="preserve">Content Generation — drafting and communication</w:t>
            </w:r>
          </w:p>
          <w:p>
            <w:pPr>
              <w:spacing w:before="60"/>
            </w:pPr>
            <w:r>
              <w:rPr>
                <w:b/>
                <w:bCs/>
                <w:color w:val="0369A1"/>
                <w:sz w:val="15"/>
                <w:szCs w:val="15"/>
              </w:rPr>
              <w:t xml:space="preserve">2 L4 activities</w:t>
            </w:r>
          </w:p>
          <w:p>
            <w:pPr>
              <w:spacing w:before="40"/>
            </w:pPr>
            <w:r>
              <w:rPr>
                <w:color w:val="0369A1"/>
                <w:sz w:val="12"/>
                <w:szCs w:val="12"/>
              </w:rPr>
              <w:t xml:space="preserve">M1 72%  →  M3 40%</w:t>
            </w:r>
          </w:p>
        </w:tc>
        <w:tc>
          <w:tcPr>
            <w:tcW w:type="pct" w:w="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CFCE7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166534"/>
                <w:sz w:val="15"/>
                <w:szCs w:val="15"/>
              </w:rPr>
              <w:t xml:space="preserve">Transaction</w:t>
            </w:r>
          </w:p>
          <w:p>
            <w:pPr>
              <w:spacing w:before="30"/>
            </w:pPr>
            <w:r>
              <w:rPr>
                <w:i/>
                <w:iCs/>
                <w:color w:val="166534"/>
                <w:sz w:val="10"/>
                <w:szCs w:val="10"/>
              </w:rPr>
              <w:t xml:space="preserve">Rules-Based Processing — suited to automation</w:t>
            </w:r>
          </w:p>
          <w:p>
            <w:pPr>
              <w:spacing w:before="60"/>
            </w:pPr>
            <w:r>
              <w:rPr>
                <w:b/>
                <w:bCs/>
                <w:color w:val="166534"/>
                <w:sz w:val="15"/>
                <w:szCs w:val="15"/>
              </w:rPr>
              <w:t xml:space="preserve">20 L4 activities</w:t>
            </w:r>
          </w:p>
          <w:p>
            <w:pPr>
              <w:spacing w:before="40"/>
            </w:pPr>
            <w:r>
              <w:rPr>
                <w:color w:val="166534"/>
                <w:sz w:val="12"/>
                <w:szCs w:val="12"/>
              </w:rPr>
              <w:t xml:space="preserve">M1 60%  →  M3 35%</w:t>
            </w:r>
          </w:p>
        </w:tc>
        <w:tc>
          <w:tcPr>
            <w:tcW w:type="pct" w:w="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E2E2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991B1B"/>
                <w:sz w:val="15"/>
                <w:szCs w:val="15"/>
              </w:rPr>
              <w:t xml:space="preserve">Exception</w:t>
            </w:r>
          </w:p>
          <w:p>
            <w:pPr>
              <w:spacing w:before="30"/>
            </w:pPr>
            <w:r>
              <w:rPr>
                <w:i/>
                <w:iCs/>
                <w:color w:val="991B1B"/>
                <w:sz w:val="10"/>
                <w:szCs w:val="10"/>
              </w:rPr>
              <w:t xml:space="preserve">Non-Standard Resolution — human-resolved by nature</w:t>
            </w:r>
          </w:p>
          <w:p>
            <w:pPr>
              <w:spacing w:before="60"/>
            </w:pPr>
            <w:r>
              <w:rPr>
                <w:b/>
                <w:bCs/>
                <w:color w:val="991B1B"/>
                <w:sz w:val="15"/>
                <w:szCs w:val="15"/>
              </w:rPr>
              <w:t xml:space="preserve">1 L4 activities</w:t>
            </w:r>
          </w:p>
          <w:p>
            <w:pPr>
              <w:spacing w:before="40"/>
            </w:pPr>
            <w:r>
              <w:rPr>
                <w:color w:val="991B1B"/>
                <w:sz w:val="12"/>
                <w:szCs w:val="12"/>
              </w:rPr>
              <w:t xml:space="preserve">M1 95%  →  M3 82%</w:t>
            </w:r>
          </w:p>
        </w:tc>
      </w:tr>
    </w:tbl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Process Accountability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600"/>
        <w:gridCol w:w="3540"/>
        <w:gridCol w:w="2000"/>
      </w:tblGrid>
      <w:tr>
        <w:trPr>
          <w:tblHeader/>
        </w:trPr>
        <w:tc>
          <w:tcPr>
            <w:tcW w:type="pct" w:w="28.88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Process Accountability</w:t>
            </w:r>
          </w:p>
        </w:tc>
        <w:tc>
          <w:tcPr>
            <w:tcW w:type="pct" w:w="15.94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Tier</w:t>
            </w:r>
          </w:p>
        </w:tc>
        <w:tc>
          <w:tcPr>
            <w:tcW w:type="pct" w:w="35.26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L3 Processes</w:t>
            </w:r>
          </w:p>
        </w:tc>
        <w:tc>
          <w:tcPr>
            <w:tcW w:type="pct" w:w="19.92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L4 Activities</w:t>
            </w:r>
          </w:p>
        </w:tc>
      </w:tr>
      <w:tr>
        <w:tc>
          <w:tcPr>
            <w:tcW w:type="pct" w:w="28.88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5"/>
                <w:szCs w:val="15"/>
              </w:rPr>
              <w:t xml:space="preserve">VP Treasury</w:t>
            </w:r>
          </w:p>
        </w:tc>
        <w:tc>
          <w:tcPr>
            <w:tcW w:type="pct" w:w="15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2"/>
                <w:szCs w:val="12"/>
              </w:rPr>
              <w:t xml:space="preserve">Executive</w:t>
            </w:r>
          </w:p>
        </w:tc>
        <w:tc>
          <w:tcPr>
            <w:tcW w:type="pct" w:w="35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666666"/>
                <w:sz w:val="13"/>
                <w:szCs w:val="13"/>
              </w:rPr>
              <w:t xml:space="preserve">9.7.1, 9.7.2, 9.7.3, 9.7.4, 9.7.5</w:t>
            </w:r>
          </w:p>
        </w:tc>
        <w:tc>
          <w:tcPr>
            <w:tcW w:type="pct" w:w="19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color w:val="444444"/>
                <w:sz w:val="15"/>
                <w:szCs w:val="15"/>
              </w:rPr>
              <w:t xml:space="preserve">37</w:t>
            </w:r>
          </w:p>
        </w:tc>
      </w:tr>
      <w:tr>
        <w:tc>
          <w:tcPr>
            <w:tcW w:type="pct" w:w="28.88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5"/>
                <w:szCs w:val="15"/>
              </w:rPr>
              <w:t xml:space="preserve">Internal Audit Manager</w:t>
            </w:r>
          </w:p>
        </w:tc>
        <w:tc>
          <w:tcPr>
            <w:tcW w:type="pct" w:w="15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2"/>
                <w:szCs w:val="12"/>
              </w:rPr>
              <w:t xml:space="preserve">Managerial</w:t>
            </w:r>
          </w:p>
        </w:tc>
        <w:tc>
          <w:tcPr>
            <w:tcW w:type="pct" w:w="35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666666"/>
                <w:sz w:val="13"/>
                <w:szCs w:val="13"/>
              </w:rPr>
              <w:t xml:space="preserve">9.7.6</w:t>
            </w:r>
          </w:p>
        </w:tc>
        <w:tc>
          <w:tcPr>
            <w:tcW w:type="pct" w:w="19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color w:val="444444"/>
                <w:sz w:val="15"/>
                <w:szCs w:val="15"/>
              </w:rPr>
              <w:t xml:space="preserve">1</w:t>
            </w:r>
          </w:p>
        </w:tc>
      </w:tr>
    </w:tbl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Handoff Points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Treasury &amp; Risk opens with VP Treasury-accountable policy setting and governance scope (9.7.1), then runs cash management (9.7.2) and in-house banking (9.7.3) as the stream's core daily-operations lane.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Debt and investment management (9.7.4) and risk/hedging (9.7.5) run as VP Treasury's higher-judgment lane — managing liquidity, issuer exposure, and hedge strategy — consuming market data and cash-position outputs from the operations lane.</w:t>
      </w:r>
    </w:p>
    <w:p>
      <w:pPr>
        <w:spacing w:after="160"/>
      </w:pPr>
      <w:r>
        <w:rPr>
          <w:color w:val="444444"/>
          <w:sz w:val="18"/>
          <w:szCs w:val="18"/>
        </w:rPr>
        <w:t xml:space="preserve">Financial fraud and dispute case management (9.7.6) is the stream's one carve-out to Internal Audit Manager, engaged whenever a cash, banking, or payment-fraud exception surfaces from any of VP Treasury's other four lanes.</w:t>
      </w:r>
    </w:p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Governed Decision Points</w:t>
      </w:r>
    </w:p>
    <w:p>
      <w:pPr>
        <w:spacing w:after="100"/>
      </w:pPr>
      <w:r>
        <w:rPr>
          <w:color w:val="888888"/>
          <w:sz w:val="14"/>
          <w:szCs w:val="14"/>
        </w:rPr>
        <w:t xml:space="preserve">Every Decision/Exception-pattern activity in the value stream, including those embedded inside Mixed-labeled steps.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1900"/>
        <w:gridCol w:w="1400"/>
        <w:gridCol w:w="1900"/>
        <w:gridCol w:w="1460"/>
        <w:gridCol w:w="2600"/>
      </w:tblGrid>
      <w:tr>
        <w:trPr>
          <w:tblHeader/>
        </w:trPr>
        <w:tc>
          <w:tcPr>
            <w:tcW w:type="pct" w:w="7.77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PCF</w:t>
            </w:r>
          </w:p>
        </w:tc>
        <w:tc>
          <w:tcPr>
            <w:tcW w:type="pct" w:w="18.92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Decision</w:t>
            </w:r>
          </w:p>
        </w:tc>
        <w:tc>
          <w:tcPr>
            <w:tcW w:type="pct" w:w="13.94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Authority</w:t>
            </w:r>
          </w:p>
        </w:tc>
        <w:tc>
          <w:tcPr>
            <w:tcW w:type="pct" w:w="18.92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Impact</w:t>
            </w:r>
          </w:p>
        </w:tc>
        <w:tc>
          <w:tcPr>
            <w:tcW w:type="pct" w:w="14.54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Escalates To</w:t>
            </w:r>
          </w:p>
        </w:tc>
        <w:tc>
          <w:tcPr>
            <w:tcW w:type="pct" w:w="25.9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Trigger</w:t>
            </w:r>
          </w:p>
        </w:tc>
      </w:tr>
      <w:tr>
        <w:tc>
          <w:tcPr>
            <w:tcW w:type="pct" w:w="7.77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000000"/>
                <w:sz w:val="13"/>
                <w:szCs w:val="13"/>
              </w:rPr>
              <w:t xml:space="preserve">9.7.2.8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Analyze, negotiate, resolve, and confirm bank fees</w:t>
            </w:r>
          </w:p>
        </w:tc>
        <w:tc>
          <w:tcPr>
            <w:tcW w:type="pct" w:w="13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Treasury Manager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Financial — commits to negotiated banking-relationship terms</w:t>
            </w:r>
          </w:p>
        </w:tc>
        <w:tc>
          <w:tcPr>
            <w:tcW w:type="pct" w:w="14.5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VP Treasury (Executive)</w:t>
            </w:r>
          </w:p>
        </w:tc>
        <w:tc>
          <w:tcPr>
            <w:tcW w:type="pct" w:w="25.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Fee dispute or renegotiated terms exceed Treasury Manager's standing authority or affect an enterprise banking relationship</w:t>
            </w:r>
          </w:p>
        </w:tc>
      </w:tr>
      <w:tr>
        <w:tc>
          <w:tcPr>
            <w:tcW w:type="pct" w:w="7.77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000000"/>
                <w:sz w:val="13"/>
                <w:szCs w:val="13"/>
              </w:rPr>
              <w:t xml:space="preserve">9.7.6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Manage financial fraud/dispute cases</w:t>
            </w:r>
          </w:p>
        </w:tc>
        <w:tc>
          <w:tcPr>
            <w:tcW w:type="pct" w:w="13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Internal Audit Manager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Financial + Compliance — contains exposure from suspected fraud or a disputed transaction</w:t>
            </w:r>
          </w:p>
        </w:tc>
        <w:tc>
          <w:tcPr>
            <w:tcW w:type="pct" w:w="14.5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CFO (Executive)</w:t>
            </w:r>
          </w:p>
        </w:tc>
        <w:tc>
          <w:tcPr>
            <w:tcW w:type="pct" w:w="25.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Suspected fraud is confirmed or dispute value exceeds Internal Audit Manager's standing resolution authority</w:t>
            </w:r>
          </w:p>
        </w:tc>
      </w:tr>
    </w:tbl>
    <w:p>
      <w:pPr>
        <w:spacing w:before="260"/>
      </w:pPr>
      <w:r>
        <w:rPr>
          <w:i/>
          <w:iCs/>
          <w:color w:val="888888"/>
          <w:sz w:val="13"/>
          <w:szCs w:val="13"/>
        </w:rPr>
        <w:t xml:space="preserve">© Timothy P. King 2026 · developed with the assistance of Claude (Anthropic)</w:t>
      </w:r>
    </w:p>
    <w:sectPr>
      <w:headerReference w:type="default" r:id="rId7"/>
      <w:footerReference w:type="default" r:id="rId8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3"/>
        <w:szCs w:val="13"/>
      </w:rPr>
      <w:t xml:space="preserve">Page </w:t>
    </w:r>
    <w:r>
      <w:rPr>
        <w:color w:val="888888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3"/>
        <w:szCs w:val="13"/>
      </w:rPr>
      <w:t xml:space="preserve"> of </w:t>
    </w:r>
    <w:r>
      <w:rPr>
        <w:color w:val="888888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20"/>
    </w:pPr>
    <w:r>
      <w:rPr>
        <w:b/>
        <w:bCs/>
        <w:color w:val="1B4F8A"/>
        <w:sz w:val="13"/>
        <w:szCs w:val="13"/>
      </w:rPr>
      <w:t xml:space="preserve">The Human-AI Partnership Framework</w:t>
    </w:r>
  </w:p>
  <w:p>
    <w:r>
      <w:rPr>
        <w:i/>
        <w:iCs/>
        <w:color w:val="888888"/>
        <w:sz w:val="13"/>
        <w:szCs w:val="13"/>
      </w:rPr>
      <w:t xml:space="preserve">PCF 9.7 — Treasury &amp; Risk — Value Stream Profile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2026-08-18T22:40:17.603Z</dcterms:created>
  <dcterms:modified xsi:type="dcterms:W3CDTF">2026-08-18T22:40:17.603Z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