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Tax Strategy-to-Compliance</w:t>
      </w:r>
    </w:p>
    <w:p>
      <w:pPr>
        <w:spacing w:after="200"/>
      </w:pPr>
      <w:r>
        <w:rPr>
          <w:i/>
          <w:iCs/>
          <w:color w:val="888888"/>
          <w:sz w:val="17"/>
          <w:szCs w:val="17"/>
        </w:rPr>
        <w:t xml:space="preserve">PCF 9.9 — Tax planning &amp; processing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2</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10</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5</w:t>
            </w:r>
          </w:p>
        </w:tc>
      </w:tr>
    </w:tbl>
    <w:p>
      <w:pPr>
        <w:spacing w:after="160" w:before="200"/>
      </w:pPr>
      <w:r>
        <w:rPr>
          <w:color w:val="444444"/>
          <w:sz w:val="18"/>
          <w:szCs w:val="18"/>
        </w:rPr>
        <w:t xml:space="preserve">This document reports confirmed R/A/C/I role accountability for the Tax Strategy-to-Compliance value stream (PCF 9.9)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9.9  </w:t>
            </w:r>
            <w:r>
              <w:rPr>
                <w:b/>
                <w:bCs/>
                <w:color w:val="0D2D4F"/>
                <w:sz w:val="14"/>
                <w:szCs w:val="14"/>
              </w:rPr>
              <w:t xml:space="preserve">Manage taxes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tax strategy and plan</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foreign, national, state, and local tax strategy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Consolidate and optimize total tax plan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tax master data</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9.9.2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Process taxes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4.29%"/>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85.71%"/>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Accounting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tax planning/strategy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tax returns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foreign taxes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Calculate deferred taxes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Account for taxes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9.9.2.6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tax compliance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Address tax inquiries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2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9.9 — Tax Strategy-to-Compliance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2026-08-18T22:40:17.789Z</dcterms:created>
  <dcterms:modified xsi:type="dcterms:W3CDTF">2026-08-18T22:40:17.789Z</dcterms:modified>
</cp:coreProperties>
</file>

<file path=docProps/custom.xml><?xml version="1.0" encoding="utf-8"?>
<Properties xmlns="http://schemas.openxmlformats.org/officeDocument/2006/custom-properties" xmlns:vt="http://schemas.openxmlformats.org/officeDocument/2006/docPropsVTypes"/>
</file>