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4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4F" w:val="clear"/>
            <w:tcMar>
              <w:top w:type="dxa" w:w="22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8"/>
                <w:szCs w:val="28"/>
              </w:rPr>
              <w:t xml:space="preserve">The Human-AI Partnership Framework</w:t>
            </w:r>
          </w:p>
          <w:p>
            <w:pPr>
              <w:jc w:val="center"/>
            </w:pPr>
            <w:r>
              <w:rPr>
                <w:i/>
                <w:iCs/>
                <w:color w:val="9FC2EE"/>
                <w:sz w:val="16"/>
                <w:szCs w:val="16"/>
              </w:rPr>
              <w:t xml:space="preserve">Where human judgment belongs</w:t>
            </w:r>
          </w:p>
        </w:tc>
      </w:tr>
    </w:tbl>
    <w:p>
      <w:pPr>
        <w:spacing w:after="40" w:before="220"/>
      </w:pPr>
      <w:r>
        <w:rPr>
          <w:rFonts w:ascii="Georgia" w:cs="Georgia" w:eastAsia="Georgia" w:hAnsi="Georgia"/>
          <w:b/>
          <w:bCs/>
          <w:color w:val="0D2D4F"/>
          <w:sz w:val="30"/>
          <w:szCs w:val="30"/>
        </w:rPr>
        <w:t xml:space="preserve">Recruit-to-Hire</w:t>
      </w:r>
    </w:p>
    <w:p>
      <w:pPr>
        <w:spacing w:after="200"/>
      </w:pPr>
      <w:r>
        <w:rPr>
          <w:i/>
          <w:iCs/>
          <w:color w:val="888888"/>
          <w:sz w:val="17"/>
          <w:szCs w:val="17"/>
        </w:rPr>
        <w:t xml:space="preserve">PCF 7.2 — Acquire Talent — Value Stream Profile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This value stream comprises one APQC PCF process group: 7.2 Recruit, Source, and Select Employees — spanning 5 Level 3 processes and 24 Level 4 activities.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At the activity level, this value stream's work breaks down as 15 Transaction activities (rules-based processing suited to automation), 5 Knowledge activities (judgment, synthesis, and interpretation-driven work), 3 Decision activities (judgment-and-authority gates that stay human by design), and 1 Document activity (content generation). No Exception-pattern activity exists within this value stream.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At M3 (HITL Design Intent), the value stream's aggregate human-involvement ratio is 47%, down from a 70% undesigned baseline — a 23-point AI convergence opportunity.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8"/>
        <w:gridCol w:w="2008"/>
        <w:gridCol w:w="2008"/>
        <w:gridCol w:w="2008"/>
        <w:gridCol w:w="2008"/>
      </w:tblGrid>
      <w:tr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L3 PROCESSES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5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L4 ACTIVITIES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24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M1 BASELINE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70%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M3 DESIGN INTENT H%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47%</w:t>
            </w:r>
          </w:p>
        </w:tc>
        <w:tc>
          <w:tcPr>
            <w:tcW w:type="pct" w:w="20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40"/>
            </w:pPr>
            <w:r>
              <w:rPr>
                <w:color w:val="888888"/>
                <w:sz w:val="12"/>
                <w:szCs w:val="12"/>
              </w:rPr>
              <w:t xml:space="preserve">Δ M1 → M3</w:t>
            </w:r>
          </w:p>
          <w:p>
            <w:r>
              <w:rPr>
                <w:b/>
                <w:bCs/>
                <w:color w:val="1B4F8A"/>
                <w:sz w:val="22"/>
                <w:szCs w:val="22"/>
              </w:rPr>
              <w:t xml:space="preserve">-23%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KPIs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30"/>
        <w:gridCol w:w="2510"/>
      </w:tblGrid>
      <w:tr>
        <w:trPr>
          <w:tblHeader/>
        </w:trPr>
        <w:tc>
          <w:tcPr>
            <w:tcW w:type="pct" w:w="7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Business Impact Metric &amp; Formula (where confirmed)</w:t>
            </w:r>
          </w:p>
        </w:tc>
        <w:tc>
          <w:tcPr>
            <w:tcW w:type="pct" w:w="25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Source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Time-to-hire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Sum of 3 cycle-time stages: need-to-hire → requisition approval, approval → offer acceptance, acceptance → start date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Cost-per-hire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Total cost to perform “recruit, source, and select employees” ÷ Total number of new hires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Offer-acceptance rate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pct" w:w="7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444444"/>
                <w:sz w:val="15"/>
                <w:szCs w:val="15"/>
              </w:rPr>
              <w:t xml:space="preserve">Quality-of-hire / early attrition</w:t>
            </w:r>
          </w:p>
          <w:p>
            <w:r>
              <w:rPr>
                <w:i/>
                <w:iCs/>
                <w:color w:val="888888"/>
                <w:sz w:val="13"/>
                <w:szCs w:val="13"/>
              </w:rPr>
              <w:t xml:space="preserve">100% − new hire retention rate at 12 months (tracked by tier)</w:t>
            </w:r>
          </w:p>
        </w:tc>
        <w:tc>
          <w:tcPr>
            <w:tcW w:type="pct" w:w="25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888888"/>
                <w:sz w:val="14"/>
                <w:szCs w:val="14"/>
              </w:rPr>
              <w:t xml:space="preserve">APQC OSB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Design Narrative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Recruit-to-Hire, now scoped to candidate acquisition alone, keeps human judgment concentrated at two points: candidate selection itself (7.2.3, the interview and select/reject decision) and final hire commitment (7.2.4, offer negotiation) — both Accountable to Recruiter. Everything else in the value stream — requisition administration (7.2.1), sourcing-channel execution (7.2.2), applicant data management (7.2.5) — carries real AI-absorption opportunity at M3, reflected in the value stream's steepest single gap sitting in 7.2.4.1 (Draw up and make offer, Document-pattern, -32 points), with 7.2.5's entirely Transaction-pattern applicant-information work close behind at -25.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AI Capability Map</w:t>
      </w:r>
    </w:p>
    <w:p>
      <w:pPr>
        <w:spacing w:after="120"/>
      </w:pPr>
      <w:r>
        <w:rPr>
          <w:color w:val="888888"/>
          <w:sz w:val="14"/>
          <w:szCs w:val="14"/>
        </w:rPr>
        <w:t xml:space="preserve">Pattern-type distribution across this value stream's activity units. H% figures are the pattern type's standard value at each maturity level, applied consistently across all PCF domains.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00"/>
        <w:gridCol w:w="1928"/>
        <w:gridCol w:w="100"/>
        <w:gridCol w:w="1928"/>
        <w:gridCol w:w="100"/>
        <w:gridCol w:w="1928"/>
        <w:gridCol w:w="100"/>
        <w:gridCol w:w="1928"/>
      </w:tblGrid>
      <w:tr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B4F8A"/>
                <w:sz w:val="15"/>
                <w:szCs w:val="15"/>
              </w:rPr>
              <w:t xml:space="preserve">Decision</w:t>
            </w:r>
          </w:p>
          <w:p>
            <w:pPr>
              <w:spacing w:before="30"/>
            </w:pPr>
            <w:r>
              <w:rPr>
                <w:i/>
                <w:iCs/>
                <w:color w:val="1B4F8A"/>
                <w:sz w:val="10"/>
                <w:szCs w:val="10"/>
              </w:rPr>
              <w:t xml:space="preserve">Judgment &amp; Authority — gates that stay human by design</w:t>
            </w:r>
          </w:p>
          <w:p>
            <w:pPr>
              <w:spacing w:before="60"/>
            </w:pPr>
            <w:r>
              <w:rPr>
                <w:b/>
                <w:bCs/>
                <w:color w:val="1B4F8A"/>
                <w:sz w:val="15"/>
                <w:szCs w:val="15"/>
              </w:rPr>
              <w:t xml:space="preserve">3 L4 activities</w:t>
            </w:r>
          </w:p>
          <w:p>
            <w:pPr>
              <w:spacing w:before="40"/>
            </w:pPr>
            <w:r>
              <w:rPr>
                <w:color w:val="1B4F8A"/>
                <w:sz w:val="12"/>
                <w:szCs w:val="12"/>
              </w:rPr>
              <w:t xml:space="preserve">M1 92%  →  M3 80%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534AB7"/>
                <w:sz w:val="15"/>
                <w:szCs w:val="15"/>
              </w:rPr>
              <w:t xml:space="preserve">Knowledge</w:t>
            </w:r>
          </w:p>
          <w:p>
            <w:pPr>
              <w:spacing w:before="30"/>
            </w:pPr>
            <w:r>
              <w:rPr>
                <w:i/>
                <w:iCs/>
                <w:color w:val="534AB7"/>
                <w:sz w:val="10"/>
                <w:szCs w:val="10"/>
              </w:rPr>
              <w:t xml:space="preserve">Synthesis &amp; Interpretation — judgment-driven work</w:t>
            </w:r>
          </w:p>
          <w:p>
            <w:pPr>
              <w:spacing w:before="60"/>
            </w:pPr>
            <w:r>
              <w:rPr>
                <w:b/>
                <w:bCs/>
                <w:color w:val="534AB7"/>
                <w:sz w:val="15"/>
                <w:szCs w:val="15"/>
              </w:rPr>
              <w:t xml:space="preserve">5 L4 activities</w:t>
            </w:r>
          </w:p>
          <w:p>
            <w:pPr>
              <w:spacing w:before="40"/>
            </w:pPr>
            <w:r>
              <w:rPr>
                <w:color w:val="534AB7"/>
                <w:sz w:val="12"/>
                <w:szCs w:val="12"/>
              </w:rPr>
              <w:t xml:space="preserve">M1 85%  →  M3 65%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0369A1"/>
                <w:sz w:val="15"/>
                <w:szCs w:val="15"/>
              </w:rPr>
              <w:t xml:space="preserve">Document</w:t>
            </w:r>
          </w:p>
          <w:p>
            <w:pPr>
              <w:spacing w:before="30"/>
            </w:pPr>
            <w:r>
              <w:rPr>
                <w:i/>
                <w:iCs/>
                <w:color w:val="0369A1"/>
                <w:sz w:val="10"/>
                <w:szCs w:val="10"/>
              </w:rPr>
              <w:t xml:space="preserve">Content Generation — drafting and communication</w:t>
            </w:r>
          </w:p>
          <w:p>
            <w:pPr>
              <w:spacing w:before="60"/>
            </w:pPr>
            <w:r>
              <w:rPr>
                <w:b/>
                <w:bCs/>
                <w:color w:val="0369A1"/>
                <w:sz w:val="15"/>
                <w:szCs w:val="15"/>
              </w:rPr>
              <w:t xml:space="preserve">1 L4 activities</w:t>
            </w:r>
          </w:p>
          <w:p>
            <w:pPr>
              <w:spacing w:before="40"/>
            </w:pPr>
            <w:r>
              <w:rPr>
                <w:color w:val="0369A1"/>
                <w:sz w:val="12"/>
                <w:szCs w:val="12"/>
              </w:rPr>
              <w:t xml:space="preserve">M1 72%  →  M3 40%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166534"/>
                <w:sz w:val="15"/>
                <w:szCs w:val="15"/>
              </w:rPr>
              <w:t xml:space="preserve">Transaction</w:t>
            </w:r>
          </w:p>
          <w:p>
            <w:pPr>
              <w:spacing w:before="30"/>
            </w:pPr>
            <w:r>
              <w:rPr>
                <w:i/>
                <w:iCs/>
                <w:color w:val="166534"/>
                <w:sz w:val="10"/>
                <w:szCs w:val="10"/>
              </w:rPr>
              <w:t xml:space="preserve">Rules-Based Processing — suited to automation</w:t>
            </w:r>
          </w:p>
          <w:p>
            <w:pPr>
              <w:spacing w:before="60"/>
            </w:pPr>
            <w:r>
              <w:rPr>
                <w:b/>
                <w:bCs/>
                <w:color w:val="166534"/>
                <w:sz w:val="15"/>
                <w:szCs w:val="15"/>
              </w:rPr>
              <w:t xml:space="preserve">15 L4 activities</w:t>
            </w:r>
          </w:p>
          <w:p>
            <w:pPr>
              <w:spacing w:before="40"/>
            </w:pPr>
            <w:r>
              <w:rPr>
                <w:color w:val="166534"/>
                <w:sz w:val="12"/>
                <w:szCs w:val="12"/>
              </w:rPr>
              <w:t xml:space="preserve">M1 60%  →  M3 35%</w:t>
            </w:r>
          </w:p>
        </w:tc>
        <w:tc>
          <w:tcPr>
            <w:tcW w:type="pct" w:w="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19.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b/>
                <w:bCs/>
                <w:color w:val="991B1B"/>
                <w:sz w:val="15"/>
                <w:szCs w:val="15"/>
              </w:rPr>
              <w:t xml:space="preserve">Exception</w:t>
            </w:r>
          </w:p>
          <w:p>
            <w:pPr>
              <w:spacing w:before="30"/>
            </w:pPr>
            <w:r>
              <w:rPr>
                <w:i/>
                <w:iCs/>
                <w:color w:val="991B1B"/>
                <w:sz w:val="10"/>
                <w:szCs w:val="10"/>
              </w:rPr>
              <w:t xml:space="preserve">Non-Standard Resolution — human-resolved by nature</w:t>
            </w:r>
          </w:p>
          <w:p>
            <w:pPr>
              <w:spacing w:before="60"/>
            </w:pPr>
            <w:r>
              <w:rPr>
                <w:b/>
                <w:bCs/>
                <w:color w:val="991B1B"/>
                <w:sz w:val="15"/>
                <w:szCs w:val="15"/>
              </w:rPr>
              <w:t xml:space="preserve">0 L4 activities</w:t>
            </w:r>
          </w:p>
          <w:p>
            <w:pPr>
              <w:spacing w:before="40"/>
            </w:pPr>
            <w:r>
              <w:rPr>
                <w:i/>
                <w:iCs/>
                <w:color w:val="991B1B"/>
                <w:sz w:val="11"/>
                <w:szCs w:val="11"/>
              </w:rPr>
              <w:t xml:space="preserve">No activities of this pattern in this value stream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Process Accountability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3540"/>
        <w:gridCol w:w="2000"/>
      </w:tblGrid>
      <w:tr>
        <w:trPr>
          <w:tblHeader/>
        </w:trPr>
        <w:tc>
          <w:tcPr>
            <w:tcW w:type="pct" w:w="28.88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Process Accountability</w:t>
            </w:r>
          </w:p>
        </w:tc>
        <w:tc>
          <w:tcPr>
            <w:tcW w:type="pct" w:w="15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Tier</w:t>
            </w:r>
          </w:p>
        </w:tc>
        <w:tc>
          <w:tcPr>
            <w:tcW w:type="pct" w:w="35.26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L3 Processes</w:t>
            </w:r>
          </w:p>
        </w:tc>
        <w:tc>
          <w:tcPr>
            <w:tcW w:type="pct" w:w="19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L4 Activities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HRBP Manager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B4F8A"/>
                <w:sz w:val="12"/>
                <w:szCs w:val="12"/>
              </w:rPr>
              <w:t xml:space="preserve">Managerial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7.2.1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7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Recruiter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7.2.2, 7.2.3, 7.2.4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13</w:t>
            </w:r>
          </w:p>
        </w:tc>
      </w:tr>
      <w:tr>
        <w:tc>
          <w:tcPr>
            <w:tcW w:type="pct" w:w="28.88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5"/>
                <w:szCs w:val="15"/>
              </w:rPr>
              <w:t xml:space="preserve">HRIS Analyst</w:t>
            </w:r>
          </w:p>
        </w:tc>
        <w:tc>
          <w:tcPr>
            <w:tcW w:type="pct" w:w="15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166534"/>
                <w:sz w:val="12"/>
                <w:szCs w:val="12"/>
              </w:rPr>
              <w:t xml:space="preserve">Operational</w:t>
            </w:r>
          </w:p>
        </w:tc>
        <w:tc>
          <w:tcPr>
            <w:tcW w:type="pct" w:w="35.26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666666"/>
                <w:sz w:val="13"/>
                <w:szCs w:val="13"/>
              </w:rPr>
              <w:t xml:space="preserve">7.2.5</w:t>
            </w:r>
          </w:p>
        </w:tc>
        <w:tc>
          <w:tcPr>
            <w:tcW w:type="pct" w:w="19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color w:val="444444"/>
                <w:sz w:val="15"/>
                <w:szCs w:val="15"/>
              </w:rPr>
              <w:t xml:space="preserve">4</w:t>
            </w:r>
          </w:p>
        </w:tc>
      </w:tr>
    </w:tbl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Handoff Points</w:t>
      </w:r>
    </w:p>
    <w:p>
      <w:pPr>
        <w:spacing w:after="120"/>
      </w:pPr>
      <w:r>
        <w:rPr>
          <w:color w:val="444444"/>
          <w:sz w:val="18"/>
          <w:szCs w:val="18"/>
        </w:rPr>
        <w:t xml:space="preserve">Recruit-to-Hire opens with HRBP Manager on requisition management (7.2.1), then hands to Recruiter for the full candidate lifecycle: sourcing (7.2.2), screening and selection (7.2.3), and new hire/offer management (7.2.4) — the value stream's largest single lane.</w:t>
      </w:r>
    </w:p>
    <w:p>
      <w:pPr>
        <w:spacing w:after="160"/>
      </w:pPr>
      <w:r>
        <w:rPr>
          <w:color w:val="444444"/>
          <w:sz w:val="18"/>
          <w:szCs w:val="18"/>
        </w:rPr>
        <w:t xml:space="preserve">The funnel closes with HRIS Analyst, Accountable for applicant information management (7.2.5) — background checks, records, tracking, archiving — entirely Transaction-pattern, one of the value stream's largest AI-absorption opportunities (Δ -25 points).</w:t>
      </w:r>
    </w:p>
    <w:p>
      <w:pPr>
        <w:spacing w:after="40" w:before="260"/>
      </w:pPr>
      <w:r>
        <w:rPr>
          <w:b/>
          <w:bCs/>
          <w:color w:val="0D2D4F"/>
          <w:sz w:val="19"/>
          <w:szCs w:val="19"/>
        </w:rPr>
        <w:t xml:space="preserve">Governed Decision Points</w:t>
      </w:r>
    </w:p>
    <w:p>
      <w:pPr>
        <w:spacing w:after="100"/>
      </w:pPr>
      <w:r>
        <w:rPr>
          <w:color w:val="888888"/>
          <w:sz w:val="14"/>
          <w:szCs w:val="14"/>
        </w:rPr>
        <w:t xml:space="preserve">Every Decision/Exception-pattern activity in the value stream, including those embedded inside Mixed-labeled steps.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400"/>
        <w:gridCol w:w="1900"/>
        <w:gridCol w:w="1460"/>
        <w:gridCol w:w="2600"/>
      </w:tblGrid>
      <w:tr>
        <w:trPr>
          <w:tblHeader/>
        </w:trPr>
        <w:tc>
          <w:tcPr>
            <w:tcW w:type="pct" w:w="7.77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PCF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Decision</w:t>
            </w:r>
          </w:p>
        </w:tc>
        <w:tc>
          <w:tcPr>
            <w:tcW w:type="pct" w:w="13.9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Authority</w:t>
            </w:r>
          </w:p>
        </w:tc>
        <w:tc>
          <w:tcPr>
            <w:tcW w:type="pct" w:w="18.92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Impact</w:t>
            </w:r>
          </w:p>
        </w:tc>
        <w:tc>
          <w:tcPr>
            <w:tcW w:type="pct" w:w="14.54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Escalates To</w:t>
            </w:r>
          </w:p>
        </w:tc>
        <w:tc>
          <w:tcPr>
            <w:tcW w:type="pct" w:w="25.9%"/>
            <w:shd w:fill="1B4F8A" w:val="clear"/>
            <w:tcMar>
              <w:top w:type="dxa" w:w="60"/>
              <w:left w:type="dxa" w:w="140"/>
              <w:bottom w:type="dxa" w:w="60"/>
              <w:right w:type="dxa" w:w="60"/>
            </w:tcMar>
            <w:vAlign w:val="bottom"/>
          </w:tcPr>
          <w:p>
            <w:pPr>
              <w:jc w:val="left"/>
            </w:pPr>
            <w:r>
              <w:rPr>
                <w:b/>
                <w:bCs/>
                <w:color w:val="FFFFFF"/>
                <w:sz w:val="11"/>
                <w:szCs w:val="11"/>
              </w:rPr>
              <w:t xml:space="preserve">Trigger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7.2.1.3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Authorize a job requisition against budget and approved headcount plan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HRBP Manager, Finance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budget commitment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CHRO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Requisition falls outside the approved headcount plan or requires cross-functional budget reallocation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7.2.3.4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Select and reject candidates; commit to a hire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Recruiter, Hiring Managers*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+ People — compensation commitment, team composition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CHRO (Executive)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AFBFD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Role is senior/leadership-level, or offer terms exceed standard compensation band</w:t>
            </w:r>
          </w:p>
        </w:tc>
      </w:tr>
      <w:tr>
        <w:tc>
          <w:tcPr>
            <w:tcW w:type="pct" w:w="7.77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000000"/>
                <w:sz w:val="13"/>
                <w:szCs w:val="13"/>
              </w:rPr>
              <w:t xml:space="preserve">7.2.4.2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 final offer terms with candidate (embedded in Manage New Hire / Rehire)</w:t>
            </w:r>
          </w:p>
        </w:tc>
        <w:tc>
          <w:tcPr>
            <w:tcW w:type="pct" w:w="13.9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Recruiter, Compensation &amp; Benefits Manager</w:t>
            </w:r>
          </w:p>
        </w:tc>
        <w:tc>
          <w:tcPr>
            <w:tcW w:type="pct" w:w="18.92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Financial — compensation exception</w:t>
            </w:r>
          </w:p>
        </w:tc>
        <w:tc>
          <w:tcPr>
            <w:tcW w:type="pct" w:w="14.54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Director of Talent Acquisition (Managerial)</w:t>
            </w:r>
          </w:p>
        </w:tc>
        <w:tc>
          <w:tcPr>
            <w:tcW w:type="pct" w:w="25.9%"/>
            <w:tcBorders>
              <w:top w:val="single" w:color="7AAED6" w:sz="2"/>
              <w:left w:val="single" w:color="7AAED6" w:sz="2"/>
              <w:bottom w:val="single" w:color="7AAED6" w:sz="2"/>
              <w:right w:val="single" w:color="7AAED6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top"/>
          </w:tcPr>
          <w:p>
            <w:r>
              <w:rPr>
                <w:color w:val="444444"/>
                <w:sz w:val="13"/>
                <w:szCs w:val="13"/>
              </w:rPr>
              <w:t xml:space="preserve">Negotiated terms exceed standard offer parameters — comp above band, signing bonus, relocation</w:t>
            </w:r>
          </w:p>
        </w:tc>
      </w:tr>
    </w:tbl>
    <w:p>
      <w:pPr>
        <w:spacing w:before="260"/>
      </w:pPr>
      <w:r>
        <w:rPr>
          <w:i/>
          <w:iCs/>
          <w:color w:val="888888"/>
          <w:sz w:val="13"/>
          <w:szCs w:val="13"/>
        </w:rPr>
        <w:t xml:space="preserve">© Timothy P. King 2026 · developed with the assistance of Claude (Anthropic)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3"/>
        <w:szCs w:val="13"/>
      </w:rPr>
      <w:t xml:space="preserve">Page </w:t>
    </w:r>
    <w:r>
      <w:rPr>
        <w:color w:val="888888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3"/>
        <w:szCs w:val="13"/>
      </w:rPr>
      <w:t xml:space="preserve"> of </w:t>
    </w:r>
    <w:r>
      <w:rPr>
        <w:color w:val="888888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</w:pPr>
    <w:r>
      <w:rPr>
        <w:b/>
        <w:bCs/>
        <w:color w:val="1B4F8A"/>
        <w:sz w:val="13"/>
        <w:szCs w:val="13"/>
      </w:rPr>
      <w:t xml:space="preserve">The Human-AI Partnership Framework</w:t>
    </w:r>
  </w:p>
  <w:p>
    <w:r>
      <w:rPr>
        <w:i/>
        <w:iCs/>
        <w:color w:val="888888"/>
        <w:sz w:val="13"/>
        <w:szCs w:val="13"/>
      </w:rPr>
      <w:t xml:space="preserve">PCF 7.2 — Recruit-to-Hire — Value Stream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2026-08-09T12:14:51.616Z</dcterms:created>
  <dcterms:modified xsi:type="dcterms:W3CDTF">2026-08-09T12:14:51.617Z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