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Time-to-Pay</w:t>
      </w:r>
    </w:p>
    <w:p>
      <w:pPr>
        <w:spacing w:after="200"/>
      </w:pPr>
      <w:r>
        <w:rPr>
          <w:i/>
          <w:iCs/>
          <w:color w:val="888888"/>
          <w:sz w:val="17"/>
          <w:szCs w:val="17"/>
        </w:rPr>
        <w:t xml:space="preserve">PCF 9.5 — Payroll processing — Value Stream Profile</w:t>
      </w:r>
    </w:p>
    <w:p>
      <w:pPr>
        <w:spacing w:after="120"/>
      </w:pPr>
      <w:r>
        <w:rPr>
          <w:color w:val="444444"/>
          <w:sz w:val="18"/>
          <w:szCs w:val="18"/>
        </w:rPr>
        <w:t xml:space="preserve">This value stream comprises one APQC PCF process group: 9.5 Process Payroll — spanning 3 Level 3 processes and 18 Level 4 activities.</w:t>
      </w:r>
    </w:p>
    <w:p>
      <w:pPr>
        <w:spacing w:after="120"/>
      </w:pPr>
      <w:r>
        <w:rPr>
          <w:color w:val="444444"/>
          <w:sz w:val="18"/>
          <w:szCs w:val="18"/>
        </w:rPr>
        <w:t xml:space="preserve">At the activity level, this value stream's work breaks down as 14 Transaction activities, 3 Knowledge activities, and 1 Document activity. No Decision- or Exception-pattern activity exists within this value stream.</w:t>
      </w:r>
    </w:p>
    <w:p>
      <w:pPr>
        <w:spacing w:after="200"/>
      </w:pPr>
      <w:r>
        <w:rPr>
          <w:color w:val="444444"/>
          <w:sz w:val="18"/>
          <w:szCs w:val="18"/>
        </w:rPr>
        <w:t xml:space="preserve">At M3 (HITL Design Intent), the value stream's aggregate human-involvement ratio is 41%, down from a 66% undesigned baseline — a 25-point AI convergence opportunity, the second-steepest in PCF 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3</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18</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66%</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41%</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-25%</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Payroll cost per payslip</w:t>
            </w:r>
          </w:p>
          <w:p>
            <w:r>
              <w:rPr>
                <w:i/>
                <w:iCs/>
                <w:color w:val="888888"/>
                <w:sz w:val="13"/>
                <w:szCs w:val="13"/>
              </w:rPr>
              <w:t xml:space="preserve">Total payroll operating cost ÷ number of payslips issued per period</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Payroll accuracy rate</w:t>
            </w:r>
          </w:p>
          <w:p>
            <w:r>
              <w:rPr>
                <w:i/>
                <w:iCs/>
                <w:color w:val="888888"/>
                <w:sz w:val="13"/>
                <w:szCs w:val="13"/>
              </w:rPr>
              <w:t xml:space="preserve">% of payslips issued without a correction or off-cycle adjustment</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PayrollOrg (formerly American Payroll Association)</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On-time payroll delivery rate</w:t>
            </w:r>
          </w:p>
          <w:p>
            <w:r>
              <w:rPr>
                <w:i/>
                <w:iCs/>
                <w:color w:val="888888"/>
                <w:sz w:val="13"/>
                <w:szCs w:val="13"/>
              </w:rPr>
              <w:t xml:space="preserve">% of pay runs completed and funded by the scheduled pay date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bl>
    <w:p>
      <w:pPr>
        <w:spacing w:after="40" w:before="260"/>
      </w:pPr>
      <w:r>
        <w:rPr>
          <w:b/>
          <w:bCs/>
          <w:color w:val="0D2D4F"/>
          <w:sz w:val="19"/>
          <w:szCs w:val="19"/>
        </w:rPr>
        <w:t xml:space="preserve">Design Narrative</w:t>
      </w:r>
    </w:p>
    <w:p>
      <w:pPr>
        <w:spacing w:after="160"/>
      </w:pPr>
      <w:r>
        <w:rPr>
          <w:color w:val="444444"/>
          <w:sz w:val="18"/>
          <w:szCs w:val="18"/>
        </w:rPr>
        <w:t xml:space="preserve">Time-to-Pay concentrates payroll operations under Director of Accounting, Accountable for 2 of the stream's 3 L3s — time reporting (9.5.1) and pay management (9.5.2) — with Tax Manager holding the third, payroll tax processing (9.5.3), a specialist carve-out consistent with how PCF 9.0 keeps tax work under Tax Manager wherever it appears, even inside an otherwise Accounting-owned stream. This value stream also carries the framework's clearest cross-domain participation boundary since HR's own Reward-to-Retain payroll handoff: HR Generalist and HRIS Analyst appear as Informed external participants on time reporting and pay management respectively, mirroring PCF 7.0's 7.5.4 (Administer Payroll), where HR's accountability was explicitly scoped to personnel data while Finance owns the payroll run itself. Its steepest AI-absorption opportunity sits in 9.5.1.1 (Establish policies and procedures, Document-pattern,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0 L4 activities</w:t>
            </w:r>
          </w:p>
          <w:p>
            <w:pPr>
              <w:spacing w:before="40"/>
            </w:pPr>
            <w:r>
              <w:rPr>
                <w:i/>
                <w:iCs/>
                <w:color w:val="1B4F8A"/>
                <w:sz w:val="11"/>
                <w:szCs w:val="11"/>
              </w:rPr>
              <w:t xml:space="preserve">No activities of this pattern in this value stream</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3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1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14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Director of Accounting</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9.5.1, 9.5.2</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13</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Tax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9.5.3</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5</w:t>
            </w:r>
          </w:p>
        </w:tc>
      </w:tr>
    </w:tbl>
    <w:p>
      <w:pPr>
        <w:spacing w:after="40" w:before="260"/>
      </w:pPr>
      <w:r>
        <w:rPr>
          <w:b/>
          <w:bCs/>
          <w:color w:val="0D2D4F"/>
          <w:sz w:val="19"/>
          <w:szCs w:val="19"/>
        </w:rPr>
        <w:t xml:space="preserve">Handoff Points</w:t>
      </w:r>
    </w:p>
    <w:p>
      <w:pPr>
        <w:spacing w:after="120"/>
      </w:pPr>
      <w:r>
        <w:rPr>
          <w:color w:val="444444"/>
          <w:sz w:val="18"/>
          <w:szCs w:val="18"/>
        </w:rPr>
        <w:t xml:space="preserve">Time-to-Pay opens with Director of Accounting-accountable time reporting (9.5.1), consuming timesheet data HR systems originate and HR Generalist stays Informed on.</w:t>
      </w:r>
    </w:p>
    <w:p>
      <w:pPr>
        <w:spacing w:after="120"/>
      </w:pPr>
      <w:r>
        <w:rPr>
          <w:color w:val="444444"/>
          <w:sz w:val="18"/>
          <w:szCs w:val="18"/>
        </w:rPr>
        <w:t xml:space="preserve">Time data feeds pay management (9.5.2) — entering hours, administering earnings and deductions, and processing payment — with HRIS Analyst Informed on the employee-data dependency.</w:t>
      </w:r>
    </w:p>
    <w:p>
      <w:pPr>
        <w:spacing w:after="160"/>
      </w:pPr>
      <w:r>
        <w:rPr>
          <w:color w:val="444444"/>
          <w:sz w:val="18"/>
          <w:szCs w:val="18"/>
        </w:rPr>
        <w:t xml:space="preserve">Pay management output feeds Tax Manager-accountable payroll tax processing (9.5.3) — calculating, paying, and filing payroll taxes — closing the stream before results reconcile back into Record-to-Report's general ledger.</w:t>
      </w:r>
    </w:p>
    <w:p>
      <w:pPr>
        <w:spacing w:after="40" w:before="260"/>
      </w:pPr>
      <w:r>
        <w:rPr>
          <w:b/>
          <w:bCs/>
          <w:color w:val="0D2D4F"/>
          <w:sz w:val="19"/>
          <w:szCs w:val="19"/>
        </w:rPr>
        <w:t xml:space="preserve">Governed Decision Points</w:t>
      </w:r>
    </w:p>
    <w:p>
      <w:r>
        <w:rPr>
          <w:i/>
          <w:iCs/>
          <w:color w:val="888888"/>
          <w:sz w:val="14"/>
          <w:szCs w:val="14"/>
        </w:rPr>
        <w:t xml:space="preserve">No Decision- or Exception-pattern activity in this value stream — every step here is Knowledge, Document, Transaction, or Mixed without an embedded Decision/Exception component.</w:t>
      </w:r>
    </w:p>
    <w:p>
      <w:pPr>
        <w:spacing w:before="260"/>
      </w:pPr>
      <w:r>
        <w:rPr>
          <w:i/>
          <w:iCs/>
          <w:color w:val="888888"/>
          <w:sz w:val="13"/>
          <w:szCs w:val="13"/>
        </w:rPr>
        <w:t xml:space="preserve">©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9.5 — Time-to-Pay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2026-08-18T22:40:16.776Z</dcterms:created>
  <dcterms:modified xsi:type="dcterms:W3CDTF">2026-08-18T22:40:16.777Z</dcterms:modified>
</cp:coreProperties>
</file>

<file path=docProps/custom.xml><?xml version="1.0" encoding="utf-8"?>
<Properties xmlns="http://schemas.openxmlformats.org/officeDocument/2006/custom-properties" xmlns:vt="http://schemas.openxmlformats.org/officeDocument/2006/docPropsVTypes"/>
</file>