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0040"/>
        <w:tblBorders>
          <w:top w:val="single" w:color="auto" w:sz="4"/>
          <w:left w:val="single" w:color="auto" w:sz="4"/>
          <w:bottom w:val="single" w:color="auto" w:sz="4"/>
          <w:right w:val="single" w:color="auto" w:sz="4"/>
          <w:insideH w:val="single" w:color="auto" w:sz="4"/>
          <w:insideV w:val="single" w:color="auto" w:sz="4"/>
        </w:tblBorders>
      </w:tblPr>
      <w:tblGrid>
        <w:gridCol w:w="10040"/>
      </w:tblGrid>
      <w:tr>
        <w:tc>
          <w:tcPr>
            <w:tcW w:type="dxa" w:w="10040"/>
            <w:shd w:fill="0D2D4F" w:val="clear"/>
            <w:tcMar>
              <w:top w:type="dxa" w:w="340"/>
              <w:left w:type="dxa" w:w="400"/>
              <w:bottom w:type="dxa" w:w="320"/>
              <w:right w:type="dxa" w:w="400"/>
            </w:tcMar>
            <w:vAlign w:val="center"/>
          </w:tcPr>
          <w:p>
            <w:pPr>
              <w:spacing w:after="110" w:before="0"/>
              <w:jc w:val="center"/>
            </w:pPr>
            <w:r>
              <w:rPr>
                <w:rFonts w:ascii="Consolas" w:cs="Consolas" w:eastAsia="Consolas" w:hAnsi="Consolas"/>
                <w:b w:val="false"/>
                <w:bCs w:val="false"/>
                <w:i w:val="false"/>
                <w:iCs w:val="false"/>
                <w:color w:val="9FC2EE"/>
                <w:sz w:val="17"/>
                <w:szCs w:val="17"/>
              </w:rPr>
              <w:t xml:space="preserve">CONCEPT — FOR JOINT REVIEW  ·  TIM KING &amp; GIGI GARCIA  ·  SEPTEMBER 2026</w:t>
            </w:r>
          </w:p>
          <w:p>
            <w:pPr>
              <w:spacing w:after="40" w:before="0"/>
              <w:jc w:val="center"/>
            </w:pPr>
            <w:r>
              <w:rPr>
                <w:rFonts w:ascii="Georgia" w:cs="Georgia" w:eastAsia="Georgia" w:hAnsi="Georgia"/>
                <w:b/>
                <w:bCs/>
                <w:i w:val="false"/>
                <w:iCs w:val="false"/>
                <w:color w:val="FFFFFF"/>
                <w:sz w:val="36"/>
                <w:szCs w:val="36"/>
              </w:rPr>
              <w:t xml:space="preserve">Framework Content Generation Rules</w:t>
            </w:r>
          </w:p>
          <w:p>
            <w:pPr>
              <w:spacing w:after="110" w:before="0"/>
              <w:jc w:val="center"/>
            </w:pPr>
            <w:r>
              <w:rPr>
                <w:rFonts w:ascii="Georgia" w:cs="Georgia" w:eastAsia="Georgia" w:hAnsi="Georgia"/>
                <w:b/>
                <w:bCs/>
                <w:i/>
                <w:iCs/>
                <w:color w:val="9FC2EE"/>
                <w:sz w:val="24"/>
                <w:szCs w:val="24"/>
              </w:rPr>
              <w:t xml:space="preserve">Visual System &amp; Hierarchy</w:t>
            </w:r>
          </w:p>
          <w:p>
            <w:pPr>
              <w:spacing w:after="0" w:before="0"/>
              <w:jc w:val="center"/>
            </w:pPr>
            <w:r>
              <w:rPr>
                <w:rFonts w:ascii="Segoe UI" w:cs="Segoe UI" w:eastAsia="Segoe UI" w:hAnsi="Segoe UI"/>
                <w:b w:val="false"/>
                <w:bCs w:val="false"/>
                <w:i/>
                <w:iCs/>
                <w:color w:val="9FC2EE"/>
                <w:sz w:val="20"/>
                <w:szCs w:val="20"/>
              </w:rPr>
              <w:t xml:space="preserve">Formal, checkable rules — derived from GiGi’s own site recommendations — meant to bind any future generator of framework content, human or AI-authored.</w:t>
            </w:r>
          </w:p>
        </w:tc>
      </w:tr>
    </w:tbl>
    <w:p>
      <w:pPr>
        <w:spacing w:after="160" w:before="220"/>
      </w:pPr>
    </w:p>
    <w:tbl>
      <w:tblPr>
        <w:tblW w:type="dxa" w:w="10040"/>
        <w:tblBorders>
          <w:top w:val="single" w:color="auto" w:sz="4"/>
          <w:left w:val="single" w:color="auto" w:sz="4"/>
          <w:bottom w:val="single" w:color="auto" w:sz="4"/>
          <w:right w:val="single" w:color="auto" w:sz="4"/>
          <w:insideH w:val="single" w:color="auto" w:sz="4"/>
          <w:insideV w:val="single" w:color="auto" w:sz="4"/>
        </w:tblBorders>
      </w:tblPr>
      <w:tblGrid>
        <w:gridCol w:w="10040"/>
      </w:tblGrid>
      <w:tr>
        <w:tc>
          <w:tcPr>
            <w:tcW w:type="dxa" w:w="10040"/>
            <w:tcBorders>
              <w:top w:val="none" w:color="FFFFFF" w:sz="0"/>
              <w:left w:val="single" w:color="B8873F" w:sz="24"/>
              <w:bottom w:val="none" w:color="FFFFFF" w:sz="0"/>
              <w:right w:val="none" w:color="FFFFFF" w:sz="0"/>
            </w:tcBorders>
            <w:shd w:fill="FEF3C7" w:val="clear"/>
            <w:tcMar>
              <w:top w:type="dxa" w:w="160"/>
              <w:left w:type="dxa" w:w="220"/>
              <w:bottom w:type="dxa" w:w="160"/>
              <w:right w:type="dxa" w:w="220"/>
            </w:tcMar>
          </w:tcPr>
          <w:p>
            <w:pPr>
              <w:spacing w:after="0" w:before="0"/>
            </w:pPr>
            <w:r>
              <w:rPr>
                <w:rFonts w:ascii="Segoe UI" w:cs="Segoe UI" w:eastAsia="Segoe UI" w:hAnsi="Segoe UI"/>
                <w:b w:val="false"/>
                <w:bCs w:val="false"/>
                <w:i/>
                <w:iCs/>
                <w:color w:val="7A5A1E"/>
                <w:sz w:val="19"/>
                <w:szCs w:val="19"/>
              </w:rPr>
              <w:t xml:space="preserve">Concept stage — not yet part of the framework. Per the Concept → Feasibility Review → Approved lifecycle established in From Concept to Principle, this is Claude’s feasibility pass only. Nothing here binds any actual content generation until both Tim and GiGi approve it.</w:t>
            </w:r>
          </w:p>
        </w:tc>
      </w:tr>
    </w:tbl>
    <w:p>
      <w:pPr>
        <w:spacing w:after="160"/>
      </w:pPr>
    </w:p>
    <w:p>
      <w:pPr>
        <w:spacing w:after="100" w:before="0"/>
      </w:pPr>
      <w:r>
        <w:rPr>
          <w:rFonts w:ascii="Segoe UI" w:cs="Segoe UI" w:eastAsia="Segoe UI" w:hAnsi="Segoe UI"/>
          <w:b w:val="false"/>
          <w:bCs w:val="false"/>
          <w:i w:val="false"/>
          <w:iCs w:val="false"/>
          <w:color w:val="444444"/>
          <w:sz w:val="20"/>
          <w:szCs w:val="20"/>
        </w:rPr>
        <w:t xml:space="preserve">These eight rules turn the six "Visual system &amp; hierarchy" recommendations from GiGi’s review notes into something checkable — not just a style preference, but a set of constraints a content generator (Claude, building a new page or document) can actually be held to. Each rule names what it requires, what it applies to, and, where useful, points at a real page or decision already in the framework that shows the rule in action or in violation. Rule 8 was added afterward, from a real defect Tim caught in the WIP hub’s own tables rather than from GiGi’s original six recommendations, and folded in here the same way.</w:t>
      </w:r>
    </w:p>
    <w:p>
      <w:pPr>
        <w:spacing w:after="60" w:before="260"/>
      </w:pPr>
      <w:r>
        <w:rPr>
          <w:rFonts w:ascii="Consolas" w:cs="Consolas" w:eastAsia="Consolas" w:hAnsi="Consolas"/>
          <w:b/>
          <w:bCs/>
          <w:color w:val="1B4F8A"/>
          <w:sz w:val="16"/>
          <w:szCs w:val="16"/>
          <w:shd w:fill="EEF3FA" w:val="clear"/>
        </w:rPr>
        <w:t xml:space="preserve"> RULE 1 </w:t>
      </w:r>
      <w:r>
        <w:rPr>
          <w:sz w:val="16"/>
          <w:szCs w:val="16"/>
        </w:rPr>
        <w:t xml:space="preserve">   </w:t>
      </w:r>
      <w:r>
        <w:rPr>
          <w:rFonts w:ascii="Georgia" w:cs="Georgia" w:eastAsia="Georgia" w:hAnsi="Georgia"/>
          <w:b/>
          <w:bCs/>
          <w:color w:val="0D2D4F"/>
          <w:sz w:val="23"/>
          <w:szCs w:val="23"/>
        </w:rPr>
        <w:t xml:space="preserve">Token Lock</w:t>
      </w:r>
    </w:p>
    <w:p>
      <w:pPr>
        <w:spacing w:after="60" w:before="0"/>
      </w:pPr>
      <w:r>
        <w:rPr>
          <w:rFonts w:ascii="Segoe UI" w:cs="Segoe UI" w:eastAsia="Segoe UI" w:hAnsi="Segoe UI"/>
          <w:b w:val="false"/>
          <w:bCs w:val="false"/>
          <w:i w:val="false"/>
          <w:iCs w:val="false"/>
          <w:color w:val="444444"/>
          <w:sz w:val="20"/>
          <w:szCs w:val="20"/>
        </w:rPr>
        <w:t xml:space="preserve">Every framework artifact — HTML page, docx, or PDF — draws its colors and fonts exclusively from the standing token set. Colors: navy #1B4F8A, navy-d #0D2D4F, navy-l #EEF3FA, gray #444, light gray #888, border #DDE3EE, amber #B8873F / amber-bg #FEF3C7 (reserved for draft/pending status only — never used decoratively), and light-blue #9FC2EE / #9FC0E8 (the nav-tagline and role-narrative banner accent). Fonts: Georgia for headlines and serif emphasis, Segoe UI for body and UI text, Consolas for labels, badges, and section numbers — genuine Microsoft Word-compatible fonts only, never Google Fonts or other web-only families, so every artifact renders identically whether it's opened as a live HTML page, a Word document, or a PDF. A generator does not introduce a new color or font for a single artifact; a genuinely new visual need becomes its own proposal, not a local fix.</w:t>
      </w:r>
    </w:p>
    <w:p>
      <w:pPr>
        <w:spacing w:after="60" w:before="0"/>
      </w:pPr>
      <w:r>
        <w:rPr>
          <w:rFonts w:ascii="Segoe UI" w:cs="Segoe UI" w:eastAsia="Segoe UI" w:hAnsi="Segoe UI"/>
          <w:b/>
          <w:bCs/>
          <w:i w:val="false"/>
          <w:iCs w:val="false"/>
          <w:color w:val="1B4F8A"/>
          <w:sz w:val="18"/>
          <w:szCs w:val="18"/>
        </w:rPr>
        <w:t xml:space="preserve">Applies to: </w:t>
      </w:r>
      <w:r>
        <w:rPr>
          <w:rFonts w:ascii="Segoe UI" w:cs="Segoe UI" w:eastAsia="Segoe UI" w:hAnsi="Segoe UI"/>
          <w:b w:val="false"/>
          <w:bCs w:val="false"/>
          <w:i w:val="false"/>
          <w:iCs w:val="false"/>
          <w:color w:val="888888"/>
          <w:sz w:val="18"/>
          <w:szCs w:val="18"/>
        </w:rPr>
        <w:t xml:space="preserve">Every new HTML page, docx build, or PDF the framework produces.</w:t>
      </w:r>
    </w:p>
    <w:p>
      <w:pPr>
        <w:spacing w:after="200" w:before="0"/>
      </w:pPr>
      <w:r>
        <w:rPr>
          <w:rFonts w:ascii="Segoe UI" w:cs="Segoe UI" w:eastAsia="Segoe UI" w:hAnsi="Segoe UI"/>
          <w:b w:val="false"/>
          <w:bCs w:val="false"/>
          <w:i/>
          <w:iCs/>
          <w:color w:val="888888"/>
          <w:sz w:val="18"/>
          <w:szCs w:val="18"/>
        </w:rPr>
        <w:t xml:space="preserve">Already the de facto practice for colors across the dashboard, docs site, and every docx/PDF built to date — this rule just makes it binding rather than assumed. Corrected during the WIP compliance audit: the original list omitted the light-blue accent, which was already in universal, load-bearing use for nav taglines and role-narrative banners — now folded into the locked set instead of left as an unsanctioned extension. Fonts are the one place this rule is currently ahead of the live framework rather than describing it: every WIP HTML page and docx/PDF now uses this Word-compatible font set, but the live dashboard and docs site still run on the original Google-Fonts-based type system — extending this rule there is a separate, not-yet-made decision.</w:t>
      </w:r>
    </w:p>
    <w:p>
      <w:pPr>
        <w:spacing w:after="60" w:before="260"/>
      </w:pPr>
      <w:r>
        <w:rPr>
          <w:rFonts w:ascii="Consolas" w:cs="Consolas" w:eastAsia="Consolas" w:hAnsi="Consolas"/>
          <w:b/>
          <w:bCs/>
          <w:color w:val="1B4F8A"/>
          <w:sz w:val="16"/>
          <w:szCs w:val="16"/>
          <w:shd w:fill="EEF3FA" w:val="clear"/>
        </w:rPr>
        <w:t xml:space="preserve"> RULE 2 </w:t>
      </w:r>
      <w:r>
        <w:rPr>
          <w:sz w:val="16"/>
          <w:szCs w:val="16"/>
        </w:rPr>
        <w:t xml:space="preserve">   </w:t>
      </w:r>
      <w:r>
        <w:rPr>
          <w:rFonts w:ascii="Georgia" w:cs="Georgia" w:eastAsia="Georgia" w:hAnsi="Georgia"/>
          <w:b/>
          <w:bCs/>
          <w:color w:val="0D2D4F"/>
          <w:sz w:val="23"/>
          <w:szCs w:val="23"/>
        </w:rPr>
        <w:t xml:space="preserve">One Pattern Legend</w:t>
      </w:r>
    </w:p>
    <w:p>
      <w:pPr>
        <w:spacing w:after="60" w:before="0"/>
      </w:pPr>
      <w:r>
        <w:rPr>
          <w:rFonts w:ascii="Segoe UI" w:cs="Segoe UI" w:eastAsia="Segoe UI" w:hAnsi="Segoe UI"/>
          <w:b w:val="false"/>
          <w:bCs w:val="false"/>
          <w:i w:val="false"/>
          <w:iCs w:val="false"/>
          <w:color w:val="444444"/>
          <w:sz w:val="20"/>
          <w:szCs w:val="20"/>
        </w:rPr>
        <w:t xml:space="preserve">Anywhere the five HITL patterns (Decision, Knowledge, Document, Transaction, Exception) are referenced beyond a single passing mention, the content uses one fixed color-and-label mapping and either displays or links to the canonical pattern legend. A generator does not invent a new shorthand, abbreviation, or color for a pattern, and does not assume the reader already knows the mapping.</w:t>
      </w:r>
    </w:p>
    <w:p>
      <w:pPr>
        <w:spacing w:after="60" w:before="0"/>
      </w:pPr>
      <w:r>
        <w:rPr>
          <w:rFonts w:ascii="Segoe UI" w:cs="Segoe UI" w:eastAsia="Segoe UI" w:hAnsi="Segoe UI"/>
          <w:b/>
          <w:bCs/>
          <w:i w:val="false"/>
          <w:iCs w:val="false"/>
          <w:color w:val="1B4F8A"/>
          <w:sz w:val="18"/>
          <w:szCs w:val="18"/>
        </w:rPr>
        <w:t xml:space="preserve">Applies to: </w:t>
      </w:r>
      <w:r>
        <w:rPr>
          <w:rFonts w:ascii="Segoe UI" w:cs="Segoe UI" w:eastAsia="Segoe UI" w:hAnsi="Segoe UI"/>
          <w:b w:val="false"/>
          <w:bCs w:val="false"/>
          <w:i w:val="false"/>
          <w:iCs w:val="false"/>
          <w:color w:val="888888"/>
          <w:sz w:val="18"/>
          <w:szCs w:val="18"/>
        </w:rPr>
        <w:t xml:space="preserve">Any page or document referencing pattern types — the dashboard, methodology page, maturity/RACI docs, any future role or readiness page.</w:t>
      </w:r>
    </w:p>
    <w:p>
      <w:pPr>
        <w:spacing w:after="200" w:before="0"/>
      </w:pPr>
      <w:r>
        <w:rPr>
          <w:rFonts w:ascii="Segoe UI" w:cs="Segoe UI" w:eastAsia="Segoe UI" w:hAnsi="Segoe UI"/>
          <w:b w:val="false"/>
          <w:bCs w:val="false"/>
          <w:i/>
          <w:iCs/>
          <w:color w:val="888888"/>
          <w:sz w:val="18"/>
          <w:szCs w:val="18"/>
        </w:rPr>
        <w:t xml:space="preserve">Real gap today: patterns currently read “more like a legend than building blocks” (GiGi’s own words) — no single reusable legend component exists yet.</w:t>
      </w:r>
    </w:p>
    <w:p>
      <w:pPr>
        <w:spacing w:after="60" w:before="260"/>
      </w:pPr>
      <w:r>
        <w:rPr>
          <w:rFonts w:ascii="Consolas" w:cs="Consolas" w:eastAsia="Consolas" w:hAnsi="Consolas"/>
          <w:b/>
          <w:bCs/>
          <w:color w:val="1B4F8A"/>
          <w:sz w:val="16"/>
          <w:szCs w:val="16"/>
          <w:shd w:fill="EEF3FA" w:val="clear"/>
        </w:rPr>
        <w:t xml:space="preserve"> RULE 3 </w:t>
      </w:r>
      <w:r>
        <w:rPr>
          <w:sz w:val="16"/>
          <w:szCs w:val="16"/>
        </w:rPr>
        <w:t xml:space="preserve">   </w:t>
      </w:r>
      <w:r>
        <w:rPr>
          <w:rFonts w:ascii="Georgia" w:cs="Georgia" w:eastAsia="Georgia" w:hAnsi="Georgia"/>
          <w:b/>
          <w:bCs/>
          <w:color w:val="0D2D4F"/>
          <w:sz w:val="23"/>
          <w:szCs w:val="23"/>
        </w:rPr>
        <w:t xml:space="preserve">Extract the Load-Bearing Claim</w:t>
      </w:r>
    </w:p>
    <w:p>
      <w:pPr>
        <w:spacing w:after="60" w:before="0"/>
      </w:pPr>
      <w:r>
        <w:rPr>
          <w:rFonts w:ascii="Segoe UI" w:cs="Segoe UI" w:eastAsia="Segoe UI" w:hAnsi="Segoe UI"/>
          <w:b w:val="false"/>
          <w:bCs w:val="false"/>
          <w:i w:val="false"/>
          <w:iCs w:val="false"/>
          <w:color w:val="444444"/>
          <w:sz w:val="20"/>
          <w:szCs w:val="20"/>
        </w:rPr>
        <w:t xml:space="preserve">Before finalizing any section of prose, the generator identifies that section’s actual claim — a number, a finding, a governing statement — and renders it separately, in the standing pull-quote/callout treatment, rather than leaving it buried inside a paragraph.</w:t>
      </w:r>
    </w:p>
    <w:p>
      <w:pPr>
        <w:spacing w:after="60" w:before="0"/>
      </w:pPr>
      <w:r>
        <w:rPr>
          <w:rFonts w:ascii="Segoe UI" w:cs="Segoe UI" w:eastAsia="Segoe UI" w:hAnsi="Segoe UI"/>
          <w:b/>
          <w:bCs/>
          <w:i w:val="false"/>
          <w:iCs w:val="false"/>
          <w:color w:val="1B4F8A"/>
          <w:sz w:val="18"/>
          <w:szCs w:val="18"/>
        </w:rPr>
        <w:t xml:space="preserve">Applies to: </w:t>
      </w:r>
      <w:r>
        <w:rPr>
          <w:rFonts w:ascii="Segoe UI" w:cs="Segoe UI" w:eastAsia="Segoe UI" w:hAnsi="Segoe UI"/>
          <w:b w:val="false"/>
          <w:bCs w:val="false"/>
          <w:i w:val="false"/>
          <w:iCs w:val="false"/>
          <w:color w:val="888888"/>
          <w:sz w:val="18"/>
          <w:szCs w:val="18"/>
        </w:rPr>
        <w:t xml:space="preserve">Any section built around a specific finding or number.</w:t>
      </w:r>
    </w:p>
    <w:p>
      <w:pPr>
        <w:spacing w:after="200" w:before="0"/>
      </w:pPr>
      <w:r>
        <w:rPr>
          <w:rFonts w:ascii="Segoe UI" w:cs="Segoe UI" w:eastAsia="Segoe UI" w:hAnsi="Segoe UI"/>
          <w:b w:val="false"/>
          <w:bCs w:val="false"/>
          <w:i/>
          <w:iCs/>
          <w:color w:val="888888"/>
          <w:sz w:val="18"/>
          <w:szCs w:val="18"/>
        </w:rPr>
        <w:t xml:space="preserve">Reference case: the 18–20 point convergence gap belongs in a callout, the way the HAL 9000 line already does — today it still sits in a sentence.</w:t>
      </w:r>
    </w:p>
    <w:p>
      <w:pPr>
        <w:spacing w:after="60" w:before="260"/>
      </w:pPr>
      <w:r>
        <w:rPr>
          <w:rFonts w:ascii="Consolas" w:cs="Consolas" w:eastAsia="Consolas" w:hAnsi="Consolas"/>
          <w:b/>
          <w:bCs/>
          <w:color w:val="1B4F8A"/>
          <w:sz w:val="16"/>
          <w:szCs w:val="16"/>
          <w:shd w:fill="EEF3FA" w:val="clear"/>
        </w:rPr>
        <w:t xml:space="preserve"> RULE 4 </w:t>
      </w:r>
      <w:r>
        <w:rPr>
          <w:sz w:val="16"/>
          <w:szCs w:val="16"/>
        </w:rPr>
        <w:t xml:space="preserve">   </w:t>
      </w:r>
      <w:r>
        <w:rPr>
          <w:rFonts w:ascii="Georgia" w:cs="Georgia" w:eastAsia="Georgia" w:hAnsi="Georgia"/>
          <w:b/>
          <w:bCs/>
          <w:color w:val="0D2D4F"/>
          <w:sz w:val="23"/>
          <w:szCs w:val="23"/>
        </w:rPr>
        <w:t xml:space="preserve">Callout Budget</w:t>
      </w:r>
    </w:p>
    <w:p>
      <w:pPr>
        <w:spacing w:after="60" w:before="0"/>
      </w:pPr>
      <w:r>
        <w:rPr>
          <w:rFonts w:ascii="Segoe UI" w:cs="Segoe UI" w:eastAsia="Segoe UI" w:hAnsi="Segoe UI"/>
          <w:b w:val="false"/>
          <w:bCs w:val="false"/>
          <w:i w:val="false"/>
          <w:iCs w:val="false"/>
          <w:color w:val="444444"/>
          <w:sz w:val="20"/>
          <w:szCs w:val="20"/>
        </w:rPr>
        <w:t xml:space="preserve">No single page or document carries more than three callout or pull-quote boxes. If a draft produces more candidates than that, the generator ranks them by how load-bearing the underlying claim actually is and demotes the rest back to plain prose — it does not keep all of them.</w:t>
      </w:r>
    </w:p>
    <w:p>
      <w:pPr>
        <w:spacing w:after="60" w:before="0"/>
      </w:pPr>
      <w:r>
        <w:rPr>
          <w:rFonts w:ascii="Segoe UI" w:cs="Segoe UI" w:eastAsia="Segoe UI" w:hAnsi="Segoe UI"/>
          <w:b/>
          <w:bCs/>
          <w:i w:val="false"/>
          <w:iCs w:val="false"/>
          <w:color w:val="1B4F8A"/>
          <w:sz w:val="18"/>
          <w:szCs w:val="18"/>
        </w:rPr>
        <w:t xml:space="preserve">Applies to: </w:t>
      </w:r>
      <w:r>
        <w:rPr>
          <w:rFonts w:ascii="Segoe UI" w:cs="Segoe UI" w:eastAsia="Segoe UI" w:hAnsi="Segoe UI"/>
          <w:b w:val="false"/>
          <w:bCs w:val="false"/>
          <w:i w:val="false"/>
          <w:iCs w:val="false"/>
          <w:color w:val="888888"/>
          <w:sz w:val="18"/>
          <w:szCs w:val="18"/>
        </w:rPr>
        <w:t xml:space="preserve">Every generated page or document, without exception.</w:t>
      </w:r>
    </w:p>
    <w:p>
      <w:pPr>
        <w:spacing w:after="200" w:before="0"/>
      </w:pPr>
      <w:r>
        <w:rPr>
          <w:rFonts w:ascii="Segoe UI" w:cs="Segoe UI" w:eastAsia="Segoe UI" w:hAnsi="Segoe UI"/>
          <w:b w:val="false"/>
          <w:bCs w:val="false"/>
          <w:i/>
          <w:iCs/>
          <w:color w:val="888888"/>
          <w:sz w:val="18"/>
          <w:szCs w:val="18"/>
        </w:rPr>
        <w:t xml:space="preserve">A self-check worth running on our own recent work: an early draft of Talking Through Your Questions had four boxed callouts on one page before this rule existed.</w:t>
      </w:r>
    </w:p>
    <w:p>
      <w:pPr>
        <w:spacing w:after="60" w:before="260"/>
      </w:pPr>
      <w:r>
        <w:rPr>
          <w:rFonts w:ascii="Consolas" w:cs="Consolas" w:eastAsia="Consolas" w:hAnsi="Consolas"/>
          <w:b/>
          <w:bCs/>
          <w:color w:val="1B4F8A"/>
          <w:sz w:val="16"/>
          <w:szCs w:val="16"/>
          <w:shd w:fill="EEF3FA" w:val="clear"/>
        </w:rPr>
        <w:t xml:space="preserve"> RULE 5 </w:t>
      </w:r>
      <w:r>
        <w:rPr>
          <w:sz w:val="16"/>
          <w:szCs w:val="16"/>
        </w:rPr>
        <w:t xml:space="preserve">   </w:t>
      </w:r>
      <w:r>
        <w:rPr>
          <w:rFonts w:ascii="Georgia" w:cs="Georgia" w:eastAsia="Georgia" w:hAnsi="Georgia"/>
          <w:b/>
          <w:bCs/>
          <w:color w:val="0D2D4F"/>
          <w:sz w:val="23"/>
          <w:szCs w:val="23"/>
        </w:rPr>
        <w:t xml:space="preserve">Standing Type Scale as Default</w:t>
      </w:r>
    </w:p>
    <w:p>
      <w:pPr>
        <w:spacing w:after="60" w:before="0"/>
      </w:pPr>
      <w:r>
        <w:rPr>
          <w:rFonts w:ascii="Segoe UI" w:cs="Segoe UI" w:eastAsia="Segoe UI" w:hAnsi="Segoe UI"/>
          <w:b w:val="false"/>
          <w:bCs w:val="false"/>
          <w:i w:val="false"/>
          <w:iCs w:val="false"/>
          <w:color w:val="444444"/>
          <w:sz w:val="20"/>
          <w:szCs w:val="20"/>
        </w:rPr>
        <w:t xml:space="preserve">New content starts from the current, already-downsized type scale as its baseline — masthead H1 22–28px, H2 16–20px, body 13–14.5px, table header 11px, table body 12px, caption 12px — never a full-size print or Word default that then needs its own downsizing pass later.</w:t>
      </w:r>
    </w:p>
    <w:p>
      <w:pPr>
        <w:spacing w:after="60" w:before="0"/>
      </w:pPr>
      <w:r>
        <w:rPr>
          <w:rFonts w:ascii="Segoe UI" w:cs="Segoe UI" w:eastAsia="Segoe UI" w:hAnsi="Segoe UI"/>
          <w:b/>
          <w:bCs/>
          <w:i w:val="false"/>
          <w:iCs w:val="false"/>
          <w:color w:val="1B4F8A"/>
          <w:sz w:val="18"/>
          <w:szCs w:val="18"/>
        </w:rPr>
        <w:t xml:space="preserve">Applies to: </w:t>
      </w:r>
      <w:r>
        <w:rPr>
          <w:rFonts w:ascii="Segoe UI" w:cs="Segoe UI" w:eastAsia="Segoe UI" w:hAnsi="Segoe UI"/>
          <w:b w:val="false"/>
          <w:bCs w:val="false"/>
          <w:i w:val="false"/>
          <w:iCs w:val="false"/>
          <w:color w:val="888888"/>
          <w:sz w:val="18"/>
          <w:szCs w:val="18"/>
        </w:rPr>
        <w:t xml:space="preserve">Any new document type: the Readiness Table, Trust-dimension work, remaining domain RACI docs, People-side extension pages.</w:t>
      </w:r>
    </w:p>
    <w:p>
      <w:pPr>
        <w:spacing w:after="200" w:before="0"/>
      </w:pPr>
      <w:r>
        <w:rPr>
          <w:rFonts w:ascii="Segoe UI" w:cs="Segoe UI" w:eastAsia="Segoe UI" w:hAnsi="Segoe UI"/>
          <w:b w:val="false"/>
          <w:bCs w:val="false"/>
          <w:i/>
          <w:iCs/>
          <w:color w:val="888888"/>
          <w:sz w:val="18"/>
          <w:szCs w:val="18"/>
        </w:rPr>
        <w:t xml:space="preserve">The August 5 downsizing pass across all 13 maturity docs and 7 RACI docs was this rule, applied reactively after the fact — the point is to stop needing that pass at all.</w:t>
      </w:r>
    </w:p>
    <w:p>
      <w:pPr>
        <w:spacing w:after="60" w:before="260"/>
      </w:pPr>
      <w:r>
        <w:rPr>
          <w:rFonts w:ascii="Consolas" w:cs="Consolas" w:eastAsia="Consolas" w:hAnsi="Consolas"/>
          <w:b/>
          <w:bCs/>
          <w:color w:val="1B4F8A"/>
          <w:sz w:val="16"/>
          <w:szCs w:val="16"/>
          <w:shd w:fill="EEF3FA" w:val="clear"/>
        </w:rPr>
        <w:t xml:space="preserve"> RULE 6 </w:t>
      </w:r>
      <w:r>
        <w:rPr>
          <w:sz w:val="16"/>
          <w:szCs w:val="16"/>
        </w:rPr>
        <w:t xml:space="preserve">   </w:t>
      </w:r>
      <w:r>
        <w:rPr>
          <w:rFonts w:ascii="Georgia" w:cs="Georgia" w:eastAsia="Georgia" w:hAnsi="Georgia"/>
          <w:b/>
          <w:bCs/>
          <w:color w:val="0D2D4F"/>
          <w:sz w:val="23"/>
          <w:szCs w:val="23"/>
        </w:rPr>
        <w:t xml:space="preserve">Protect the Signature Line</w:t>
      </w:r>
    </w:p>
    <w:p>
      <w:pPr>
        <w:spacing w:after="60" w:before="0"/>
      </w:pPr>
      <w:r>
        <w:rPr>
          <w:rFonts w:ascii="Segoe UI" w:cs="Segoe UI" w:eastAsia="Segoe UI" w:hAnsi="Segoe UI"/>
          <w:b w:val="false"/>
          <w:bCs w:val="false"/>
          <w:i w:val="false"/>
          <w:iCs w:val="false"/>
          <w:color w:val="444444"/>
          <w:sz w:val="20"/>
          <w:szCs w:val="20"/>
        </w:rPr>
        <w:t xml:space="preserve">Wherever the framework masthead appears, "Where human judgment belongs" is set on its own line, visually distinct in weight or color from the framework name beside it — never merged into the same sentence or run together with other boilerplate text.</w:t>
      </w:r>
    </w:p>
    <w:p>
      <w:pPr>
        <w:spacing w:after="60" w:before="0"/>
      </w:pPr>
      <w:r>
        <w:rPr>
          <w:rFonts w:ascii="Segoe UI" w:cs="Segoe UI" w:eastAsia="Segoe UI" w:hAnsi="Segoe UI"/>
          <w:b/>
          <w:bCs/>
          <w:i w:val="false"/>
          <w:iCs w:val="false"/>
          <w:color w:val="1B4F8A"/>
          <w:sz w:val="18"/>
          <w:szCs w:val="18"/>
        </w:rPr>
        <w:t xml:space="preserve">Applies to: </w:t>
      </w:r>
      <w:r>
        <w:rPr>
          <w:rFonts w:ascii="Segoe UI" w:cs="Segoe UI" w:eastAsia="Segoe UI" w:hAnsi="Segoe UI"/>
          <w:b w:val="false"/>
          <w:bCs w:val="false"/>
          <w:i w:val="false"/>
          <w:iCs w:val="false"/>
          <w:color w:val="888888"/>
          <w:sz w:val="18"/>
          <w:szCs w:val="18"/>
        </w:rPr>
        <w:t xml:space="preserve">Every masthead: the live dashboard, the docs site, every WIP page.</w:t>
      </w:r>
    </w:p>
    <w:p>
      <w:pPr>
        <w:spacing w:after="140"/>
      </w:pPr>
    </w:p>
    <w:p>
      <w:pPr>
        <w:spacing w:after="60" w:before="260"/>
      </w:pPr>
      <w:r>
        <w:rPr>
          <w:rFonts w:ascii="Consolas" w:cs="Consolas" w:eastAsia="Consolas" w:hAnsi="Consolas"/>
          <w:b/>
          <w:bCs/>
          <w:color w:val="1B4F8A"/>
          <w:sz w:val="16"/>
          <w:szCs w:val="16"/>
          <w:shd w:fill="EEF3FA" w:val="clear"/>
        </w:rPr>
        <w:t xml:space="preserve"> RULE 7 </w:t>
      </w:r>
      <w:r>
        <w:rPr>
          <w:sz w:val="16"/>
          <w:szCs w:val="16"/>
        </w:rPr>
        <w:t xml:space="preserve">   </w:t>
      </w:r>
      <w:r>
        <w:rPr>
          <w:rFonts w:ascii="Georgia" w:cs="Georgia" w:eastAsia="Georgia" w:hAnsi="Georgia"/>
          <w:b/>
          <w:bCs/>
          <w:color w:val="0D2D4F"/>
          <w:sz w:val="23"/>
          <w:szCs w:val="23"/>
        </w:rPr>
        <w:t xml:space="preserve">The Executive Layer Never Replaces the Technical Layer</w:t>
      </w:r>
    </w:p>
    <w:p>
      <w:pPr>
        <w:spacing w:after="60" w:before="0"/>
      </w:pPr>
      <w:r>
        <w:rPr>
          <w:rFonts w:ascii="Segoe UI" w:cs="Segoe UI" w:eastAsia="Segoe UI" w:hAnsi="Segoe UI"/>
          <w:b w:val="false"/>
          <w:bCs w:val="false"/>
          <w:i w:val="false"/>
          <w:iCs w:val="false"/>
          <w:color w:val="444444"/>
          <w:sz w:val="20"/>
          <w:szCs w:val="20"/>
        </w:rPr>
        <w:t xml:space="preserve">Any simplified, executive-facing version of technical content — a briefing, a summary card, a pull-statement layer — links back to its full technical source. A generator may summarize; it may never publish a summary as a substitute with no path back to the underlying rigor.</w:t>
      </w:r>
    </w:p>
    <w:p>
      <w:pPr>
        <w:spacing w:after="60" w:before="0"/>
      </w:pPr>
      <w:r>
        <w:rPr>
          <w:rFonts w:ascii="Segoe UI" w:cs="Segoe UI" w:eastAsia="Segoe UI" w:hAnsi="Segoe UI"/>
          <w:b/>
          <w:bCs/>
          <w:i w:val="false"/>
          <w:iCs w:val="false"/>
          <w:color w:val="1B4F8A"/>
          <w:sz w:val="18"/>
          <w:szCs w:val="18"/>
        </w:rPr>
        <w:t xml:space="preserve">Applies to: </w:t>
      </w:r>
      <w:r>
        <w:rPr>
          <w:rFonts w:ascii="Segoe UI" w:cs="Segoe UI" w:eastAsia="Segoe UI" w:hAnsi="Segoe UI"/>
          <w:b w:val="false"/>
          <w:bCs w:val="false"/>
          <w:i w:val="false"/>
          <w:iCs w:val="false"/>
          <w:color w:val="888888"/>
          <w:sz w:val="18"/>
          <w:szCs w:val="18"/>
        </w:rPr>
        <w:t xml:space="preserve">The CHRO-facing briefing series, and any future executive-summary layer built on top of existing technical pages.</w:t>
      </w:r>
    </w:p>
    <w:p>
      <w:pPr>
        <w:spacing w:after="200" w:before="0"/>
      </w:pPr>
      <w:r>
        <w:rPr>
          <w:rFonts w:ascii="Segoe UI" w:cs="Segoe UI" w:eastAsia="Segoe UI" w:hAnsi="Segoe UI"/>
          <w:b w:val="false"/>
          <w:bCs w:val="false"/>
          <w:i/>
          <w:iCs/>
          <w:color w:val="888888"/>
          <w:sz w:val="18"/>
          <w:szCs w:val="18"/>
        </w:rPr>
        <w:t xml:space="preserve">This is the concrete, already-designed answer to GiGi’s own Question 12 — not yet shown to her.</w:t>
      </w:r>
    </w:p>
    <w:p>
      <w:pPr>
        <w:spacing w:after="140"/>
      </w:pPr>
    </w:p>
    <w:p>
      <w:pPr>
        <w:spacing w:after="60" w:before="260"/>
      </w:pPr>
      <w:r>
        <w:rPr>
          <w:rFonts w:ascii="Consolas" w:cs="Consolas" w:eastAsia="Consolas" w:hAnsi="Consolas"/>
          <w:b/>
          <w:bCs/>
          <w:color w:val="1B4F8A"/>
          <w:sz w:val="16"/>
          <w:szCs w:val="16"/>
          <w:shd w:fill="EEF3FA" w:val="clear"/>
        </w:rPr>
        <w:t xml:space="preserve"> RULE 8 </w:t>
      </w:r>
      <w:r>
        <w:rPr>
          <w:sz w:val="16"/>
          <w:szCs w:val="16"/>
        </w:rPr>
        <w:t xml:space="preserve">   </w:t>
      </w:r>
      <w:r>
        <w:rPr>
          <w:rFonts w:ascii="Georgia" w:cs="Georgia" w:eastAsia="Georgia" w:hAnsi="Georgia"/>
          <w:b/>
          <w:bCs/>
          <w:color w:val="0D2D4F"/>
          <w:sz w:val="23"/>
          <w:szCs w:val="23"/>
        </w:rPr>
        <w:t xml:space="preserve">Bottom-Align Column Headings</w:t>
      </w:r>
    </w:p>
    <w:p>
      <w:pPr>
        <w:spacing w:after="60" w:before="0"/>
      </w:pPr>
      <w:r>
        <w:rPr>
          <w:rFonts w:ascii="Segoe UI" w:cs="Segoe UI" w:eastAsia="Segoe UI" w:hAnsi="Segoe UI"/>
          <w:b w:val="false"/>
          <w:bCs w:val="false"/>
          <w:i w:val="false"/>
          <w:iCs w:val="false"/>
          <w:color w:val="444444"/>
          <w:sz w:val="20"/>
          <w:szCs w:val="20"/>
        </w:rPr>
        <w:t xml:space="preserve">In any table, a column heading’s text vertically aligns to the bottom of the header row, never the middle or top — so a short one-line label and a longer label that wraps to two lines still share the same baseline, and the header row reads as one clean line into the data below regardless of which columns wrap.</w:t>
      </w:r>
    </w:p>
    <w:p>
      <w:pPr>
        <w:spacing w:after="60" w:before="0"/>
      </w:pPr>
      <w:r>
        <w:rPr>
          <w:rFonts w:ascii="Segoe UI" w:cs="Segoe UI" w:eastAsia="Segoe UI" w:hAnsi="Segoe UI"/>
          <w:b/>
          <w:bCs/>
          <w:i w:val="false"/>
          <w:iCs w:val="false"/>
          <w:color w:val="1B4F8A"/>
          <w:sz w:val="18"/>
          <w:szCs w:val="18"/>
        </w:rPr>
        <w:t xml:space="preserve">Applies to: </w:t>
      </w:r>
      <w:r>
        <w:rPr>
          <w:rFonts w:ascii="Segoe UI" w:cs="Segoe UI" w:eastAsia="Segoe UI" w:hAnsi="Segoe UI"/>
          <w:b w:val="false"/>
          <w:bCs w:val="false"/>
          <w:i w:val="false"/>
          <w:iCs w:val="false"/>
          <w:color w:val="888888"/>
          <w:sz w:val="18"/>
          <w:szCs w:val="18"/>
        </w:rPr>
        <w:t xml:space="preserve">Every table the framework builds — rule-gap and per-rule findings tables, per-document snapshots, composition/RACI/maturity tables, the WIP catalog.</w:t>
      </w:r>
    </w:p>
    <w:p>
      <w:pPr>
        <w:spacing w:after="200" w:before="0"/>
      </w:pPr>
      <w:r>
        <w:rPr>
          <w:rFonts w:ascii="Segoe UI" w:cs="Segoe UI" w:eastAsia="Segoe UI" w:hAnsi="Segoe UI"/>
          <w:b w:val="false"/>
          <w:bCs w:val="false"/>
          <w:i/>
          <w:iCs/>
          <w:color w:val="888888"/>
          <w:sz w:val="18"/>
          <w:szCs w:val="18"/>
        </w:rPr>
        <w:t xml:space="preserve">Corrected during the WIP compliance audit: browsers and Word both default a table header cell to middle/top alignment, not bottom, so this was a real gap rather than an assumed default — fixed across every WIP HTML and docx table with a real column-heading row (the CHRO/HRBP Manager/Recruiter composition tables, From Concept to Principle’s and The Shock Wave Effect’s tables, and this audit’s own tables) as this rule was written.</w:t>
      </w:r>
    </w:p>
    <w:p>
      <w:pPr>
        <w:pBdr>
          <w:bottom w:val="single" w:color="DDE3EE" w:sz="4" w:space="1"/>
        </w:pBdr>
        <w:spacing w:after="100" w:before="100"/>
      </w:pPr>
    </w:p>
    <w:p>
      <w:pPr>
        <w:spacing w:after="190" w:before="0"/>
      </w:pPr>
      <w:r>
        <w:rPr>
          <w:rFonts w:ascii="Segoe UI" w:cs="Segoe UI" w:eastAsia="Segoe UI" w:hAnsi="Segoe UI"/>
          <w:b w:val="false"/>
          <w:bCs w:val="false"/>
          <w:i w:val="false"/>
          <w:iCs w:val="false"/>
          <w:color w:val="444444"/>
          <w:sz w:val="20"/>
          <w:szCs w:val="20"/>
        </w:rPr>
        <w:t xml:space="preserve">If these eight are approved, the same treatment — specific, checkable rules rather than general advice — would follow for Navigation &amp; Structure and Language &amp; Precision next, completing the set drawn from GiGi’s full site-recommendations summary.</w:t>
      </w:r>
    </w:p>
    <w:sectPr>
      <w:footerReference w:type="default" r:id="rId7"/>
      <w:pgSz w:w="12240" w:h="15840"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DE3EE" w:sz="4" w:space="6"/>
      </w:pBdr>
      <w:jc w:val="center"/>
    </w:pPr>
    <w:r>
      <w:rPr>
        <w:rFonts w:ascii="Segoe UI" w:cs="Segoe UI" w:eastAsia="Segoe UI" w:hAnsi="Segoe UI"/>
        <w:b w:val="false"/>
        <w:bCs w:val="false"/>
        <w:i w:val="false"/>
        <w:iCs w:val="false"/>
        <w:color w:val="888888"/>
        <w:sz w:val="17"/>
        <w:szCs w:val="17"/>
      </w:rPr>
      <w:t xml:space="preserve">For joint review — Tim King and GiGi Garcia  ·  © Timothy P. King 2026 · developed with the assistance of Claude (Anthropic)</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Segoe UI" w:cs="Segoe UI" w:eastAsia="Segoe UI" w:hAnsi="Segoe UI"/>
        <w:color w:val="444444"/>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2026-09-05T19:45:18.201Z</dcterms:created>
  <dcterms:modified xsi:type="dcterms:W3CDTF">2026-09-05T19:45:18.215Z</dcterms:modified>
</cp:coreProperties>
</file>

<file path=docProps/custom.xml><?xml version="1.0" encoding="utf-8"?>
<Properties xmlns="http://schemas.openxmlformats.org/officeDocument/2006/custom-properties" xmlns:vt="http://schemas.openxmlformats.org/officeDocument/2006/docPropsVTypes"/>
</file>