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D2D4F"/>
          <w:sz w:val="32"/>
          <w:szCs w:val="32"/>
        </w:rPr>
        <w:t xml:space="preserve">End-to-End Process  ·  Idea-to-Market (I2M)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PCF 2.1  Executive Steering Committee  ·  PCF 2.2  R&amp;D / Innovation  ·  PCF 2.3.1–2.3.3  Engineering, Marketing &amp; Operations</w:t>
      </w:r>
    </w:p>
    <w:tbl>
      <w:tblPr>
        <w:tblW w:w="5000" w:type="pct"/>
        <w:tblBorders>
          <w:top w:val="single" w:color="7AAED6" w:sz="4"/>
          <w:left w:val="single" w:color="7AAED6" w:sz="4"/>
          <w:bottom w:val="single" w:color="7AAED6" w:sz="4"/>
          <w:right w:val="single" w:color="7AAED6" w:sz="4"/>
          <w:insideH w:val="single" w:color="7AAED6" w:sz="4"/>
          <w:insideV w:val="single" w:color="7AAED6" w:sz="4"/>
        </w:tblBorders>
      </w:tblPr>
      <w:tblGrid>
        <w:gridCol w:w="9360"/>
      </w:tblGrid>
      <w:tr>
        <w:tc>
          <w:tcPr>
            <w:tcW w:type="dxa" w:w="9360"/>
            <w:shd w:val="clear" w:color="auto" w:fill="1B4F8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1 — HITL Design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3" w:space="3"/>
        </w:pBdr>
        <w:spacing w:after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Pattern Type Legend</w:t>
      </w:r>
    </w:p>
    <w:tbl>
      <w:tblPr>
        <w:tblW w:w="5000" w:type="pct"/>
        <w:tblBorders>
          <w:top w:val="single" w:color="7AAED6" w:sz="4"/>
          <w:left w:val="single" w:color="7AAED6" w:sz="4"/>
          <w:bottom w:val="single" w:color="7AAED6" w:sz="4"/>
          <w:right w:val="single" w:color="7AAED6" w:sz="4"/>
          <w:insideH w:val="single" w:color="7AAED6" w:sz="4"/>
          <w:insideV w:val="single" w:color="7AAED6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EF3F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Decision</w:t>
            </w:r>
          </w:p>
          <w:p>
            <w:r>
              <w:rPr>
                <w:rFonts w:ascii="Arial" w:cs="Arial" w:eastAsia="Arial" w:hAnsi="Arial"/>
                <w:color w:val="1B4F8A"/>
                <w:sz w:val="14"/>
                <w:szCs w:val="14"/>
              </w:rPr>
              <w:t xml:space="preserve">80% H at M3</w:t>
            </w:r>
          </w:p>
        </w:tc>
        <w:tc>
          <w:tcPr>
            <w:tcW w:type="dxa" w:w="1872"/>
            <w:shd w:val="clear" w:color="auto" w:fill="F3F0FE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Knowledge</w:t>
            </w:r>
          </w:p>
          <w:p>
            <w:r>
              <w:rPr>
                <w:rFonts w:ascii="Arial" w:cs="Arial" w:eastAsia="Arial" w:hAnsi="Arial"/>
                <w:color w:val="534AB7"/>
                <w:sz w:val="14"/>
                <w:szCs w:val="14"/>
              </w:rPr>
              <w:t xml:space="preserve">65% H</w:t>
            </w:r>
          </w:p>
        </w:tc>
        <w:tc>
          <w:tcPr>
            <w:tcW w:type="dxa" w:w="1872"/>
            <w:shd w:val="clear" w:color="auto" w:fill="E0F2FE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Document</w:t>
            </w:r>
          </w:p>
          <w:p>
            <w:r>
              <w:rPr>
                <w:rFonts w:ascii="Arial" w:cs="Arial" w:eastAsia="Arial" w:hAnsi="Arial"/>
                <w:color w:val="0369A1"/>
                <w:sz w:val="14"/>
                <w:szCs w:val="14"/>
              </w:rPr>
              <w:t xml:space="preserve">40% H</w:t>
            </w:r>
          </w:p>
        </w:tc>
        <w:tc>
          <w:tcPr>
            <w:tcW w:type="dxa" w:w="1872"/>
            <w:shd w:val="clear" w:color="auto" w:fill="DCFCE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Transaction</w:t>
            </w:r>
          </w:p>
          <w:p>
            <w:r>
              <w:rPr>
                <w:rFonts w:ascii="Arial" w:cs="Arial" w:eastAsia="Arial" w:hAnsi="Arial"/>
                <w:color w:val="166534"/>
                <w:sz w:val="14"/>
                <w:szCs w:val="14"/>
              </w:rPr>
              <w:t xml:space="preserve">35% H</w:t>
            </w:r>
          </w:p>
        </w:tc>
        <w:tc>
          <w:tcPr>
            <w:tcW w:type="dxa" w:w="1872"/>
            <w:shd w:val="clear" w:color="auto" w:fill="FEE2E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Exception</w:t>
            </w:r>
          </w:p>
          <w:p>
            <w:r>
              <w:rPr>
                <w:rFonts w:ascii="Arial" w:cs="Arial" w:eastAsia="Arial" w:hAnsi="Arial"/>
                <w:color w:val="991B1B"/>
                <w:sz w:val="14"/>
                <w:szCs w:val="14"/>
              </w:rPr>
              <w:t xml:space="preserve">82% H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3" w:space="3"/>
        </w:pBdr>
        <w:spacing w:after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I2M End-to-End Process — HITL Design · PCF-Derived Process Ownership</w:t>
      </w:r>
    </w:p>
    <w:tbl>
      <w:tblPr>
        <w:tblW w:w="5000" w:type="pct"/>
        <w:tblBorders>
          <w:top w:val="single" w:color="7AAED6" w:sz="4"/>
          <w:left w:val="single" w:color="7AAED6" w:sz="4"/>
          <w:bottom w:val="single" w:color="7AAED6" w:sz="4"/>
          <w:right w:val="single" w:color="7AAED6" w:sz="4"/>
          <w:insideH w:val="single" w:color="7AAED6" w:sz="4"/>
          <w:insideV w:val="single" w:color="7AAED6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5C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Executive Steering Committee</w:t>
            </w:r>
          </w:p>
          <w:p>
            <w:r>
              <w:rPr>
                <w:rFonts w:ascii="Arial" w:cs="Arial" w:eastAsia="Arial" w:hAnsi="Arial"/>
                <w:i/>
                <w:iCs/>
                <w:color w:val="AACCDD"/>
                <w:sz w:val="13"/>
                <w:szCs w:val="13"/>
              </w:rPr>
              <w:t xml:space="preserve">PCF 2.1</w:t>
            </w:r>
          </w:p>
        </w:tc>
        <w:tc>
          <w:tcPr>
            <w:tcW w:type="dxa" w:w="1872"/>
            <w:shd w:val="clear" w:color="auto" w:fill="534AB7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R&amp;D / Innovation</w:t>
            </w:r>
          </w:p>
          <w:p>
            <w:r>
              <w:rPr>
                <w:rFonts w:ascii="Arial" w:cs="Arial" w:eastAsia="Arial" w:hAnsi="Arial"/>
                <w:i/>
                <w:iCs/>
                <w:color w:val="AACCDD"/>
                <w:sz w:val="13"/>
                <w:szCs w:val="13"/>
              </w:rPr>
              <w:t xml:space="preserve">PCF 2.2</w:t>
            </w:r>
          </w:p>
        </w:tc>
        <w:tc>
          <w:tcPr>
            <w:tcW w:type="dxa" w:w="1872"/>
            <w:shd w:val="clear" w:color="auto" w:fill="2D6A4F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Engineering / Design</w:t>
            </w:r>
          </w:p>
          <w:p>
            <w:r>
              <w:rPr>
                <w:rFonts w:ascii="Arial" w:cs="Arial" w:eastAsia="Arial" w:hAnsi="Arial"/>
                <w:i/>
                <w:iCs/>
                <w:color w:val="AACCDD"/>
                <w:sz w:val="13"/>
                <w:szCs w:val="13"/>
              </w:rPr>
              <w:t xml:space="preserve">PCF 2.3.1</w:t>
            </w:r>
          </w:p>
        </w:tc>
        <w:tc>
          <w:tcPr>
            <w:tcW w:type="dxa" w:w="1872"/>
            <w:shd w:val="clear" w:color="auto" w:fill="0369A1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Marketing</w:t>
            </w:r>
          </w:p>
          <w:p>
            <w:r>
              <w:rPr>
                <w:rFonts w:ascii="Arial" w:cs="Arial" w:eastAsia="Arial" w:hAnsi="Arial"/>
                <w:i/>
                <w:iCs/>
                <w:color w:val="AACCDD"/>
                <w:sz w:val="13"/>
                <w:szCs w:val="13"/>
              </w:rPr>
              <w:t xml:space="preserve">PCF 2.3.2</w:t>
            </w:r>
          </w:p>
        </w:tc>
        <w:tc>
          <w:tcPr>
            <w:tcW w:type="dxa" w:w="1872"/>
            <w:shd w:val="clear" w:color="auto" w:fill="4A5568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AACCDD"/>
                <w:sz w:val="13"/>
                <w:szCs w:val="13"/>
              </w:rPr>
              <w:t xml:space="preserve">PCF 2.3.3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3" w:space="3"/>
        </w:pBdr>
        <w:spacing w:after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HITL Design Insight</w:t>
      </w:r>
    </w:p>
    <w:tbl>
      <w:tblPr>
        <w:tblW w:w="5000" w:type="pct"/>
        <w:tblBorders>
          <w:top w:val="single" w:color="7AAED6" w:sz="4"/>
          <w:left w:val="single" w:color="7AAED6" w:sz="4"/>
          <w:bottom w:val="single" w:color="7AAED6" w:sz="4"/>
          <w:right w:val="single" w:color="7AAED6" w:sz="4"/>
          <w:insideH w:val="single" w:color="7AAED6" w:sz="4"/>
          <w:insideV w:val="single" w:color="7AAED6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B4F8A" w:sz="24"/>
              <w:bottom w:val="single" w:color="FFFFFF" w:sz="1"/>
              <w:right w:val="single" w:color="FFFFFF" w:sz="1"/>
            </w:tcBorders>
            <w:shd w:val="clear" w:color="auto" w:fill="EEF3FA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HITL Design Insight — I2M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 Decision gates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(80% Human at M3) sit with the Executive Steering Committee — portfolio governance and lifecycle management carry capital-allocation authority that stays irreducibly human, even though a parts/accessories variant of the portfolio decision routes to Product Management at lower stakes (documented as an exception rather than a parallel path).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 Knowledge steps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(65% Human at M3) span discovery research, concept generation, requirements definition, and design/prototyping — the largest cluster, and where AI augmentation of research synthesis and generative design tooling offers the clearest opportunity. Design/prototyping (2.3.1) also carries an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inline Stage-Gate Committee approval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— a real decision checkpoint with no ongoing work of its own, so it's marked on the step rather than given its own lane, and excluded from the aggregate H% math.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 Document step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(40% Human at M3) covers market-test synthesis and business-case finalization.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 Transaction step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(35% Human at M3) — production-readiness preparation — shows a smaller M1→M3 gap than a typical transactional step because mature PLM/MES systems already automate much of this work independent of any AI involvement. I2M aggregate at M3: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61.9% Human / 38.1% AI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 — reflecting a process where executive judgment and engineering/creative synthesis remain central even as AI absorbs more of the research and production-prep surface.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3" w:space="3"/>
        </w:pBdr>
        <w:spacing w:after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HITL Impact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H% = Human involvement at each maturity level  ·  M3 = HITL Design Intent  ·  ★ = Design target</w:t>
      </w:r>
    </w:p>
    <w:tbl>
      <w:tblPr>
        <w:tblW w:w="5000" w:type="pct"/>
        <w:tblBorders>
          <w:top w:val="single" w:color="7AAED6" w:sz="4"/>
          <w:left w:val="single" w:color="7AAED6" w:sz="4"/>
          <w:bottom w:val="single" w:color="7AAED6" w:sz="4"/>
          <w:right w:val="single" w:color="7AAED6" w:sz="4"/>
          <w:insideH w:val="single" w:color="7AAED6" w:sz="4"/>
          <w:insideV w:val="single" w:color="7AAED6" w:sz="4"/>
        </w:tblBorders>
      </w:tblPr>
      <w:tblGrid>
        <w:gridCol w:w="2808"/>
        <w:gridCol w:w="655"/>
        <w:gridCol w:w="1216"/>
        <w:gridCol w:w="842"/>
        <w:gridCol w:w="842"/>
        <w:gridCol w:w="655"/>
        <w:gridCol w:w="2342"/>
      </w:tblGrid>
      <w:tr>
        <w:tc>
          <w:tcPr>
            <w:tcW w:type="dxa" w:w="2808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Process Step (L3)</w:t>
            </w:r>
          </w:p>
        </w:tc>
        <w:tc>
          <w:tcPr>
            <w:tcW w:type="dxa" w:w="655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PCF</w:t>
            </w:r>
          </w:p>
        </w:tc>
        <w:tc>
          <w:tcPr>
            <w:tcW w:type="dxa" w:w="1216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842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 H%</w:t>
            </w:r>
          </w:p>
        </w:tc>
        <w:tc>
          <w:tcPr>
            <w:tcW w:type="dxa" w:w="842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 H% ★</w:t>
            </w:r>
          </w:p>
        </w:tc>
        <w:tc>
          <w:tcPr>
            <w:tcW w:type="dxa" w:w="655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 M1→M3</w:t>
            </w:r>
          </w:p>
        </w:tc>
        <w:tc>
          <w:tcPr>
            <w:tcW w:type="dxa" w:w="2342"/>
            <w:shd w:val="clear" w:color="auto" w:fill="1B4F8A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Opportunity</w:t>
            </w:r>
          </w:p>
        </w:tc>
      </w:tr>
      <w:tr>
        <w:tc>
          <w:tcPr>
            <w:tcW w:type="dxa" w:w="2808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I2M End-to-End Process  2.1–2.3.3</w:t>
            </w:r>
          </w:p>
        </w:tc>
        <w:tc>
          <w:tcPr>
            <w:tcW w:type="dxa" w:w="655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—</w:t>
            </w:r>
          </w:p>
        </w:tc>
        <w:tc>
          <w:tcPr>
            <w:tcW w:type="dxa" w:w="1216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Mixed</w:t>
            </w:r>
          </w:p>
        </w:tc>
        <w:tc>
          <w:tcPr>
            <w:tcW w:type="dxa" w:w="842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72.1%</w:t>
            </w:r>
          </w:p>
        </w:tc>
        <w:tc>
          <w:tcPr>
            <w:tcW w:type="dxa" w:w="842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61.9%</w:t>
            </w:r>
          </w:p>
        </w:tc>
        <w:tc>
          <w:tcPr>
            <w:tcW w:type="dxa" w:w="655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-10.2%</w:t>
            </w:r>
          </w:p>
        </w:tc>
        <w:tc>
          <w:tcPr>
            <w:tcW w:type="dxa" w:w="2342"/>
            <w:tcBorders>
              <w:top w:val="single" w:color="1B4F8A" w:sz="12"/>
            </w:tcBorders>
            <w:shd w:val="clear" w:color="auto" w:fill="0D2D4F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Significant</w:t>
            </w:r>
          </w:p>
        </w:tc>
      </w:tr>
      <w:tr>
        <w:tc>
          <w:tcPr>
            <w:tcW w:type="dxa" w:w="9360"/>
            <w:gridSpan w:val="7"/>
            <w:tcBorders>
              <w:top w:val="single" w:color="DDE3EE" w:sz="1"/>
              <w:left w:val="single" w:color="7AAED6" w:sz="6"/>
              <w:bottom w:val="single" w:color="C8D8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4F"/>
                <w:sz w:val="16"/>
                <w:szCs w:val="16"/>
              </w:rPr>
              <w:t xml:space="preserve">Executive Steering Committee (PCF 2.1)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Manage Product &amp; Service Portfolio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2.1.1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3"/>
                <w:szCs w:val="13"/>
              </w:rPr>
              <w:t xml:space="preserve">Decision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88%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80%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-8%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Retain Human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Manage Product &amp; Service Life Cycle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2.1.2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3"/>
                <w:szCs w:val="13"/>
              </w:rPr>
              <w:t xml:space="preserve">Decision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85%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80%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-5%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Retain Human</w:t>
            </w:r>
          </w:p>
        </w:tc>
      </w:tr>
      <w:tr>
        <w:tc>
          <w:tcPr>
            <w:tcW w:type="dxa" w:w="9360"/>
            <w:gridSpan w:val="7"/>
            <w:tcBorders>
              <w:top w:val="single" w:color="DDE3EE" w:sz="1"/>
              <w:left w:val="single" w:color="7AAED6" w:sz="6"/>
              <w:bottom w:val="single" w:color="C8D8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4F"/>
                <w:sz w:val="16"/>
                <w:szCs w:val="16"/>
              </w:rPr>
              <w:t xml:space="preserve">R&amp;D / Innovation (PCF 2.2)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Perform Discovery Research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2.2.1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3F0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3"/>
                <w:szCs w:val="13"/>
              </w:rPr>
              <w:t xml:space="preserve">Knowledge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80%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65%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-15%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Generate New Product/Service Concepts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2.2.2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3F0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3"/>
                <w:szCs w:val="13"/>
              </w:rPr>
              <w:t xml:space="preserve">Knowledge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75%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65%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-10%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9FBFD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Define Product/Service Development Requirements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2.2.3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3F0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3"/>
                <w:szCs w:val="13"/>
              </w:rPr>
              <w:t xml:space="preserve">Knowledge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73%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65%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-8%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9360"/>
            <w:gridSpan w:val="7"/>
            <w:tcBorders>
              <w:top w:val="single" w:color="DDE3EE" w:sz="1"/>
              <w:left w:val="single" w:color="7AAED6" w:sz="6"/>
              <w:bottom w:val="single" w:color="C8D8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4F"/>
                <w:sz w:val="16"/>
                <w:szCs w:val="16"/>
              </w:rPr>
              <w:t xml:space="preserve">Engineering / Design (PCF 2.3.1)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Design &amp; Prototype Products/Services</w:t>
            </w:r>
            <w:r>
              <w:rPr>
                <w:rFonts w:ascii="Arial" w:cs="Arial" w:eastAsia="Arial" w:hAnsi="Arial"/>
                <w:i/>
                <w:iCs/>
                <w:color w:val="1B4F8A"/>
                <w:sz w:val="13"/>
                <w:szCs w:val="13"/>
              </w:rPr>
              <w:t xml:space="preserve"> (+ inline Stage-Gate Committee approval — excluded from H% math)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2.3.1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3F0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3"/>
                <w:szCs w:val="13"/>
              </w:rPr>
              <w:t xml:space="preserve">Knowledge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78%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65%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-13%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Moderate</w:t>
            </w:r>
          </w:p>
        </w:tc>
      </w:tr>
      <w:tr>
        <w:tc>
          <w:tcPr>
            <w:tcW w:type="dxa" w:w="9360"/>
            <w:gridSpan w:val="7"/>
            <w:tcBorders>
              <w:top w:val="single" w:color="DDE3EE" w:sz="1"/>
              <w:left w:val="single" w:color="7AAED6" w:sz="6"/>
              <w:bottom w:val="single" w:color="C8D8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4F"/>
                <w:sz w:val="16"/>
                <w:szCs w:val="16"/>
              </w:rPr>
              <w:t xml:space="preserve">Marketing (PCF 2.3.2)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Test Market for New/Revised Products &amp; Services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2.3.2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E0F2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3"/>
                <w:szCs w:val="13"/>
              </w:rPr>
              <w:t xml:space="preserve">Document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55%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1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40%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-15%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DDE3EE" w:sz="1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single" w:color="DDE3EE" w:sz="1"/>
              <w:left w:val="single" w:color="7AAED6" w:sz="6"/>
              <w:bottom w:val="single" w:color="C8D8EE" w:sz="1"/>
              <w:right w:val="single" w:color="DDE3EE" w:sz="1"/>
            </w:tcBorders>
            <w:shd w:val="clear" w:color="auto" w:fill="EEF3FA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4F"/>
                <w:sz w:val="16"/>
                <w:szCs w:val="16"/>
              </w:rPr>
              <w:t xml:space="preserve">Operations (PCF 2.3.3)</w:t>
            </w:r>
          </w:p>
        </w:tc>
      </w:tr>
      <w:tr>
        <w:tc>
          <w:tcPr>
            <w:tcW w:type="dxa" w:w="2808"/>
            <w:tcBorders>
              <w:top w:val="single" w:color="DDE3EE" w:sz="1"/>
              <w:left w:val="single" w:color="7AAED6" w:sz="4"/>
              <w:bottom w:val="single" w:color="7AAED6" w:sz="4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Prepare for Production/Service Delivery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7AAED6" w:sz="4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2.3.3</w:t>
            </w:r>
          </w:p>
        </w:tc>
        <w:tc>
          <w:tcPr>
            <w:tcW w:type="dxa" w:w="1216"/>
            <w:tcBorders>
              <w:top w:val="single" w:color="DDE3EE" w:sz="1"/>
              <w:left w:val="single" w:color="DDE3EE" w:sz="1"/>
              <w:bottom w:val="single" w:color="7AAED6" w:sz="4"/>
              <w:right w:val="single" w:color="DDE3EE" w:sz="1"/>
            </w:tcBorders>
            <w:shd w:val="clear" w:color="auto" w:fill="DCFCE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3"/>
                <w:szCs w:val="13"/>
              </w:rPr>
              <w:t xml:space="preserve">Transaction</w:t>
            </w:r>
          </w:p>
        </w:tc>
        <w:tc>
          <w:tcPr>
            <w:tcW w:type="dxa" w:w="842"/>
            <w:tcBorders>
              <w:top w:val="single" w:color="DDE3EE" w:sz="1"/>
              <w:left w:val="single" w:color="DDE3EE" w:sz="1"/>
              <w:bottom w:val="single" w:color="7AAED6" w:sz="4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43%</w:t>
            </w:r>
          </w:p>
        </w:tc>
        <w:tc>
          <w:tcPr>
            <w:tcW w:type="dxa" w:w="842"/>
            <w:tcBorders>
              <w:top w:val="single" w:color="7AAED6" w:sz="1"/>
              <w:left w:val="single" w:color="7AAED6" w:sz="1"/>
              <w:bottom w:val="single" w:color="7AAED6" w:sz="4"/>
              <w:right w:val="single" w:color="7AAED6" w:sz="1"/>
            </w:tcBorders>
            <w:shd w:val="clear" w:color="auto" w:fill="DBEAFE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5"/>
                <w:szCs w:val="15"/>
              </w:rPr>
              <w:t xml:space="preserve">35%</w:t>
            </w:r>
          </w:p>
        </w:tc>
        <w:tc>
          <w:tcPr>
            <w:tcW w:type="dxa" w:w="655"/>
            <w:tcBorders>
              <w:top w:val="single" w:color="DDE3EE" w:sz="1"/>
              <w:left w:val="single" w:color="DDE3EE" w:sz="1"/>
              <w:bottom w:val="single" w:color="7AAED6" w:sz="4"/>
              <w:right w:val="single" w:color="DDE3EE" w:sz="1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-8%</w:t>
            </w:r>
          </w:p>
        </w:tc>
        <w:tc>
          <w:tcPr>
            <w:tcW w:type="dxa" w:w="2342"/>
            <w:tcBorders>
              <w:top w:val="single" w:color="DDE3EE" w:sz="1"/>
              <w:left w:val="single" w:color="DDE3EE" w:sz="1"/>
              <w:bottom w:val="single" w:color="7AAED6" w:sz="4"/>
              <w:right w:val="single" w:color="7AAED6" w:sz="4"/>
            </w:tcBorders>
            <w:shd w:val="clear" w:color="auto" w:fill="FFFFFF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3" w:space="3"/>
        </w:pBdr>
        <w:spacing w:after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AI Capability Map — I2M</w:t>
      </w:r>
    </w:p>
    <w:tbl>
      <w:tblPr>
        <w:tblW w:w="5000" w:type="pc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w="5000" w:type="pct"/>
              <w:tblBorders>
                <w:top w:val="single" w:color="DDE3EE" w:sz="4"/>
                <w:left w:val="single" w:color="DDE3EE" w:sz="4"/>
                <w:bottom w:val="single" w:color="DDE3EE" w:sz="4"/>
                <w:right w:val="single" w:color="DDE3EE" w:sz="4"/>
                <w:insideH w:val="single" w:color="DDE3EE" w:sz="1"/>
                <w:insideV w:val="single" w:color="DDE3EE" w:sz="1"/>
              </w:tblBorders>
              <w:tblLayout w:type="fixed"/>
            </w:tblPr>
            <w:tblGrid>
              <w:gridCol w:w="3922"/>
              <w:gridCol w:w="998"/>
            </w:tblGrid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0D2D4F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"/>
                  </w:pPr>
                  <w:r>
                    <w:rPr>
                      <w:rFonts w:ascii="Arial" w:cs="Arial" w:eastAsia="Arial" w:hAnsi="Arial"/>
                      <w:color w:val="7A9CC6"/>
                      <w:sz w:val="13"/>
                      <w:szCs w:val="13"/>
                    </w:rPr>
                    <w:t xml:space="preserve">PCF 2.1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Executive Steering Committee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2.1.1 Portfolio scenario &amp; market-gap analysis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2"/>
                      <w:szCs w:val="12"/>
                    </w:rPr>
                    <w:t xml:space="preserve">DECISION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2.1.2 Lifecycle performance &amp; retirement modeling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2"/>
                      <w:szCs w:val="12"/>
                    </w:rPr>
                    <w:t xml:space="preserve">DECISION</w:t>
                  </w:r>
                </w:p>
              </w:tc>
            </w:tr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M1: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87%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M3: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80%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M5: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68%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w="5000" w:type="pct"/>
              <w:tblBorders>
                <w:top w:val="single" w:color="DDE3EE" w:sz="4"/>
                <w:left w:val="single" w:color="DDE3EE" w:sz="4"/>
                <w:bottom w:val="single" w:color="DDE3EE" w:sz="4"/>
                <w:right w:val="single" w:color="DDE3EE" w:sz="4"/>
                <w:insideH w:val="single" w:color="DDE3EE" w:sz="1"/>
                <w:insideV w:val="single" w:color="DDE3EE" w:sz="1"/>
              </w:tblBorders>
              <w:tblLayout w:type="fixed"/>
            </w:tblPr>
            <w:tblGrid>
              <w:gridCol w:w="3922"/>
              <w:gridCol w:w="998"/>
            </w:tblGrid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0D2D4F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"/>
                  </w:pPr>
                  <w:r>
                    <w:rPr>
                      <w:rFonts w:ascii="Arial" w:cs="Arial" w:eastAsia="Arial" w:hAnsi="Arial"/>
                      <w:color w:val="7A9CC6"/>
                      <w:sz w:val="13"/>
                      <w:szCs w:val="13"/>
                    </w:rPr>
                    <w:t xml:space="preserve">PCF 2.2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R&amp;D / Innovation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2.2.1 Technology &amp; trend discovery synthesis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3F0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2"/>
                      <w:szCs w:val="12"/>
                    </w:rPr>
                    <w:t xml:space="preserve">KNOWLEDGE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2.2.2 Concept generation &amp; ideation support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3F0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2"/>
                      <w:szCs w:val="12"/>
                    </w:rPr>
                    <w:t xml:space="preserve">KNOWLEDGE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2.2.3 Requirements drafting &amp; feasibility synthesis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3F0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2"/>
                      <w:szCs w:val="12"/>
                    </w:rPr>
                    <w:t xml:space="preserve">KNOWLEDGE</w:t>
                  </w:r>
                </w:p>
              </w:tc>
            </w:tr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M1: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76%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M3: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65%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M5: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52%</w:t>
                  </w:r>
                </w:p>
              </w:tc>
            </w:tr>
          </w:tbl>
          <w:p/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w="5000" w:type="pct"/>
              <w:tblBorders>
                <w:top w:val="single" w:color="DDE3EE" w:sz="4"/>
                <w:left w:val="single" w:color="DDE3EE" w:sz="4"/>
                <w:bottom w:val="single" w:color="DDE3EE" w:sz="4"/>
                <w:right w:val="single" w:color="DDE3EE" w:sz="4"/>
                <w:insideH w:val="single" w:color="DDE3EE" w:sz="1"/>
                <w:insideV w:val="single" w:color="DDE3EE" w:sz="1"/>
              </w:tblBorders>
              <w:tblLayout w:type="fixed"/>
            </w:tblPr>
            <w:tblGrid>
              <w:gridCol w:w="3922"/>
              <w:gridCol w:w="998"/>
            </w:tblGrid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0D2D4F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"/>
                  </w:pPr>
                  <w:r>
                    <w:rPr>
                      <w:rFonts w:ascii="Arial" w:cs="Arial" w:eastAsia="Arial" w:hAnsi="Arial"/>
                      <w:color w:val="7A9CC6"/>
                      <w:sz w:val="13"/>
                      <w:szCs w:val="13"/>
                    </w:rPr>
                    <w:t xml:space="preserve">PCF 2.3.1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Engineering / Design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2.3.1 Generative design &amp; prototyping support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3F0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2"/>
                      <w:szCs w:val="12"/>
                    </w:rPr>
                    <w:t xml:space="preserve">KNOWLEDGE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2.3.1 Design-spec drafting &amp; documentation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3F0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2"/>
                      <w:szCs w:val="12"/>
                    </w:rPr>
                    <w:t xml:space="preserve">KNOWLEDGE</w:t>
                  </w:r>
                </w:p>
              </w:tc>
            </w:tr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M1: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78%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M3: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65%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M5: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50%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w="5000" w:type="pct"/>
              <w:tblBorders>
                <w:top w:val="single" w:color="DDE3EE" w:sz="4"/>
                <w:left w:val="single" w:color="DDE3EE" w:sz="4"/>
                <w:bottom w:val="single" w:color="DDE3EE" w:sz="4"/>
                <w:right w:val="single" w:color="DDE3EE" w:sz="4"/>
                <w:insideH w:val="single" w:color="DDE3EE" w:sz="1"/>
                <w:insideV w:val="single" w:color="DDE3EE" w:sz="1"/>
              </w:tblBorders>
              <w:tblLayout w:type="fixed"/>
            </w:tblPr>
            <w:tblGrid>
              <w:gridCol w:w="3922"/>
              <w:gridCol w:w="998"/>
            </w:tblGrid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0D2D4F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"/>
                  </w:pPr>
                  <w:r>
                    <w:rPr>
                      <w:rFonts w:ascii="Arial" w:cs="Arial" w:eastAsia="Arial" w:hAnsi="Arial"/>
                      <w:color w:val="7A9CC6"/>
                      <w:sz w:val="13"/>
                      <w:szCs w:val="13"/>
                    </w:rPr>
                    <w:t xml:space="preserve">PCF 2.3.2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Marketing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2.3.2 Market-study &amp; customer-interview synthesis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0F2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12"/>
                      <w:szCs w:val="12"/>
                    </w:rPr>
                    <w:t xml:space="preserve">DOCUMENT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2.3.2 Business case drafting support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0F2FE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12"/>
                      <w:szCs w:val="12"/>
                    </w:rPr>
                    <w:t xml:space="preserve">DOCUMENT</w:t>
                  </w:r>
                </w:p>
              </w:tc>
            </w:tr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M1: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55%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M3: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40%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M5: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28%</w:t>
                  </w:r>
                </w:p>
              </w:tc>
            </w:tr>
          </w:tbl>
          <w:p/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w="5000" w:type="pct"/>
              <w:tblBorders>
                <w:top w:val="single" w:color="DDE3EE" w:sz="4"/>
                <w:left w:val="single" w:color="DDE3EE" w:sz="4"/>
                <w:bottom w:val="single" w:color="DDE3EE" w:sz="4"/>
                <w:right w:val="single" w:color="DDE3EE" w:sz="4"/>
                <w:insideH w:val="single" w:color="DDE3EE" w:sz="1"/>
                <w:insideV w:val="single" w:color="DDE3EE" w:sz="1"/>
              </w:tblBorders>
              <w:tblLayout w:type="fixed"/>
            </w:tblPr>
            <w:tblGrid>
              <w:gridCol w:w="3922"/>
              <w:gridCol w:w="998"/>
            </w:tblGrid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0D2D4F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12"/>
                  </w:pPr>
                  <w:r>
                    <w:rPr>
                      <w:rFonts w:ascii="Arial" w:cs="Arial" w:eastAsia="Arial" w:hAnsi="Arial"/>
                      <w:color w:val="7A9CC6"/>
                      <w:sz w:val="13"/>
                      <w:szCs w:val="13"/>
                    </w:rPr>
                    <w:t xml:space="preserve">PCF 2.3.3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Operations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2.3.3 Production-readiness checklisting (PLM/MES)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DCFCE7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2"/>
                      <w:szCs w:val="12"/>
                    </w:rPr>
                    <w:t xml:space="preserve">TRANSACTION</w:t>
                  </w:r>
                </w:p>
              </w:tc>
            </w:tr>
            <w:tr>
              <w:tc>
                <w:tcPr>
                  <w:tcW w:type="dxa" w:w="392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FFFFFF"/>
                  <w:tcMar>
                    <w:top w:type="dxa" w:w="64"/>
                    <w:left w:type="dxa" w:w="100"/>
                    <w:bottom w:type="dxa" w:w="64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3"/>
                      <w:szCs w:val="13"/>
                    </w:rPr>
                    <w:t xml:space="preserve">2.3.3 Engineering-change routing automation</w:t>
                  </w:r>
                </w:p>
              </w:tc>
              <w:tc>
                <w:tcPr>
                  <w:tcW w:type="dxa" w:w="998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DCFCE7"/>
                  <w:tcMar>
                    <w:top w:type="dxa" w:w="64"/>
                    <w:left w:type="dxa" w:w="40"/>
                    <w:bottom w:type="dxa" w:w="64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2"/>
                      <w:szCs w:val="12"/>
                    </w:rPr>
                    <w:t xml:space="preserve">TRANSACTION</w:t>
                  </w:r>
                </w:p>
              </w:tc>
            </w:tr>
            <w:tr>
              <w:tc>
                <w:tcPr>
                  <w:tcW w:type="dxa" w:w="4920"/>
                  <w:gridSpan w:val="2"/>
                  <w:tcBorders>
                    <w:top w:val="single" w:color="DDE3EE" w:sz="4"/>
                    <w:left w:val="single" w:color="DDE3EE" w:sz="4"/>
                    <w:bottom w:val="single" w:color="DDE3EE" w:sz="4"/>
                    <w:right w:val="single" w:color="DDE3EE" w:sz="4"/>
                  </w:tcBorders>
                  <w:shd w:val="clear" w:color="auto" w:fill="EEF3FA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M1: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43%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M3: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35%</w:t>
                  </w:r>
                  <w:r>
                    <w:rPr>
                      <w:rFonts w:ascii="Arial" w:cs="Arial" w:eastAsia="Arial" w:hAnsi="Arial"/>
                      <w:color w:val="888888"/>
                      <w:sz w:val="12"/>
                      <w:szCs w:val="12"/>
                    </w:rPr>
                    <w:t xml:space="preserve">  M5: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13"/>
                      <w:szCs w:val="13"/>
                    </w:rPr>
                    <w:t xml:space="preserve">24%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Human-AI Partnership Framework  ·  HITL Maturity Ratios  ·  Idea-to-Market (I2M)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hitldrivenarchitecture.com</w:t>
    </w:r>
  </w:p>
  <w:p>
    <w:pPr>
      <w:spacing w:before="16"/>
    </w:pPr>
    <w:r>
      <w:rPr>
        <w:rFonts w:ascii="Arial" w:cs="Arial" w:eastAsia="Arial" w:hAnsi="Arial"/>
        <w:color w:val="888888"/>
        <w:sz w:val="12"/>
        <w:szCs w:val="12"/>
      </w:rPr>
      <w:t xml:space="preserve">APQC PCF v8.0 © 2026 APQC. All rights reserved.  ·  HITL Maturity Methodology © Timothy P. King &amp; Claude (Anthropic),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Arial" w:cs="Arial" w:eastAsia="Arial" w:hAnsi="Arial"/>
        <w:b/>
        <w:bCs/>
        <w:color w:val="0D2D4F"/>
        <w:sz w:val="22"/>
        <w:szCs w:val="22"/>
      </w:rPr>
      <w:t xml:space="preserve">End-to-End Process  ·  Idea-to-Market (I2M)</w:t>
    </w:r>
  </w:p>
  <w:p>
    <w:pPr>
      <w:pBdr>
        <w:bottom w:val="single" w:color="CCCCCC" w:sz="3" w:space="3"/>
      </w:pBdr>
      <w:spacing w:after="80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PCF 2.1  Executive Steering Committee  ·  PCF 2.2  R&amp;D / Innovation  ·  PCF 2.3.1–2.3.3  Engineering, Marketing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2026-06-25T15:00:27.997Z</dcterms:created>
  <dcterms:modified xsi:type="dcterms:W3CDTF">2026-06-25T15:00:27.997Z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