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2D4F" w:sz="4"/>
              <w:left w:val="single" w:color="0D2D4F" w:sz="24"/>
              <w:bottom w:val="single" w:color="0D2D4F" w:sz="4"/>
              <w:right w:val="single" w:color="0D2D4F" w:sz="4"/>
            </w:tcBorders>
            <w:shd w:fill="0D2D4F" w:val="clear"/>
            <w:tcMar>
              <w:top w:type="dxa" w:w="160"/>
              <w:left w:type="dxa" w:w="220"/>
              <w:bottom w:type="dxa" w:w="160"/>
              <w:right w:type="dxa" w:w="220"/>
            </w:tcMar>
          </w:tcPr>
          <w:p>
            <w:pPr>
              <w:spacing w:after="60"/>
            </w:pPr>
            <w:r>
              <w:rPr>
                <w:rFonts w:ascii="Consolas" w:cs="Consolas" w:eastAsia="Consolas" w:hAnsi="Consolas"/>
                <w:b/>
                <w:bCs/>
                <w:caps/>
                <w:color w:val="EEF3FA"/>
                <w:sz w:val="16"/>
                <w:szCs w:val="16"/>
              </w:rPr>
              <w:t xml:space="preserve">HITL-Driven Architecture · Reference Guide</w:t>
            </w:r>
          </w:p>
          <w:p>
            <w:pPr>
              <w:spacing w:after="40"/>
            </w:pPr>
            <w:r>
              <w:rPr>
                <w:rFonts w:ascii="Georgia" w:cs="Georgia" w:eastAsia="Georgia" w:hAnsi="Georgia"/>
                <w:b/>
                <w:bCs/>
                <w:color w:val="FFFFFF"/>
                <w:sz w:val="34"/>
                <w:szCs w:val="34"/>
              </w:rPr>
              <w:t xml:space="preserve">How This Site Works</w:t>
            </w:r>
          </w:p>
          <w:p>
            <w:pPr>
              <w:spacing w:after="0"/>
            </w:pPr>
            <w:r>
              <w:rPr>
                <w:rFonts w:ascii="Segoe UI" w:cs="Segoe UI" w:eastAsia="Segoe UI" w:hAnsi="Segoe UI"/>
                <w:i/>
                <w:iCs/>
                <w:color w:val="EEF3FA"/>
                <w:sz w:val="20"/>
                <w:szCs w:val="20"/>
              </w:rPr>
              <w:t xml:space="preserve">The Sandbox, WIP, the Requirements Register, and the Design Spec Template — what each one is for, and how an idea actually moves through them</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B8873F" w:sz="24"/>
              <w:bottom w:val="single" w:color="FEF3C7" w:sz="4"/>
              <w:right w:val="single" w:color="FEF3C7" w:sz="4"/>
            </w:tcBorders>
            <w:shd w:fill="FEF3C7" w:val="clear"/>
            <w:tcMar>
              <w:top w:type="dxa" w:w="160"/>
              <w:left w:type="dxa" w:w="220"/>
              <w:bottom w:type="dxa" w:w="160"/>
              <w:right w:type="dxa" w:w="220"/>
            </w:tcMar>
          </w:tcPr>
          <w:p>
            <w:pPr>
              <w:spacing w:line="280"/>
            </w:pPr>
            <w:r>
              <w:rPr>
                <w:rFonts w:ascii="Segoe UI" w:cs="Segoe UI" w:eastAsia="Segoe UI" w:hAnsi="Segoe UI"/>
                <w:b/>
                <w:bCs/>
                <w:i/>
                <w:iCs/>
                <w:color w:val="7A5A1E"/>
                <w:sz w:val="20"/>
                <w:szCs w:val="20"/>
              </w:rPr>
              <w:t xml:space="preserve">Reference guide, not a proposal.  </w:t>
            </w:r>
            <w:r>
              <w:rPr>
                <w:rFonts w:ascii="Segoe UI" w:cs="Segoe UI" w:eastAsia="Segoe UI" w:hAnsi="Segoe UI"/>
                <w:i/>
                <w:iCs/>
                <w:color w:val="7A5A1E"/>
                <w:sz w:val="20"/>
                <w:szCs w:val="20"/>
              </w:rPr>
              <w:t xml:space="preserve">This page describes mechanisms that already exist and are already in use — it isn’t something for Tim and GiGi to vote on. It lives in the Governance &amp; Traceability group alongside the Requirements Register, and like that document, it’s meant to be kept current as the mechanics themselves change, rather than moved through the Concept→Prototype→…→Commercialize ladder that the actual WIP items follow.</w:t>
            </w:r>
          </w:p>
        </w:tc>
      </w:tr>
    </w:tbl>
    <w:p>
      <w:pPr>
        <w:spacing w:after="240"/>
      </w:pP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2016"/>
        <w:gridCol w:w="4032"/>
        <w:gridCol w:w="4032"/>
      </w:tblGrid>
      <w:tr>
        <w:trPr>
          <w:tblHeader/>
        </w:trPr>
        <w:tc>
          <w:tcPr>
            <w:tcW w:type="dxa" w:w="2016"/>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Piece</w:t>
            </w:r>
          </w:p>
        </w:tc>
        <w:tc>
          <w:tcPr>
            <w:tcW w:type="dxa" w:w="403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What It Is</w:t>
            </w:r>
          </w:p>
        </w:tc>
        <w:tc>
          <w:tcPr>
            <w:tcW w:type="dxa" w:w="403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What It’s For</w:t>
            </w:r>
          </w:p>
        </w:tc>
      </w:tr>
      <w:tr>
        <w:tc>
          <w:tcPr>
            <w:tcW w:type="dxa" w:w="2016"/>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Sandbox</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live, interactive data page — currently PCF 7.0 only</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Try a new lens against real framework data before deciding whether it’s worth building everywhere</w:t>
            </w:r>
          </w:p>
        </w:tc>
      </w:tr>
      <w:tr>
        <w:tc>
          <w:tcPr>
            <w:tcW w:type="dxa" w:w="2016"/>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WIP</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styled, un-navigated page tree, gated behind Cloudflare Access</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Hold drafts — narratives, concepts, methodology write-ups — where Tim and GiGi can read and vote before anything is official</w:t>
            </w:r>
          </w:p>
        </w:tc>
      </w:tr>
      <w:tr>
        <w:tc>
          <w:tcPr>
            <w:tcW w:type="dxa" w:w="2016"/>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Requirements Register</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35-row Excel traceability spreadsheet, GR-001–GR-035</w:t>
            </w:r>
          </w:p>
        </w:tc>
        <w:tc>
          <w:tcPr>
            <w:tcW w:type="dxa" w:w="403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Keep every requirement GiGi has raised traceable to the WIP item and Design Spec section that addresses it</w:t>
            </w:r>
          </w:p>
        </w:tc>
      </w:tr>
      <w:tr>
        <w:tc>
          <w:tcPr>
            <w:tcW w:type="dxa" w:w="2016"/>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Design Spec Template</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fixed 10-section outline</w:t>
            </w:r>
          </w:p>
        </w:tc>
        <w:tc>
          <w:tcPr>
            <w:tcW w:type="dxa" w:w="403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shape a WIP item takes once it’s a methodology/model-layer construct, not a tactical site proposal</w:t>
            </w:r>
          </w:p>
        </w:tc>
      </w:tr>
    </w:tbl>
    <w:p>
      <w:pPr>
        <w:spacing w:after="280"/>
      </w:pPr>
    </w:p>
    <w:p>
      <w:pPr>
        <w:spacing w:after="120" w:before="320"/>
      </w:pPr>
      <w:r>
        <w:rPr>
          <w:rFonts w:ascii="Georgia" w:cs="Georgia" w:eastAsia="Georgia" w:hAnsi="Georgia"/>
          <w:b/>
          <w:bCs/>
          <w:color w:val="0D2D4F"/>
          <w:sz w:val="26"/>
          <w:szCs w:val="26"/>
        </w:rPr>
        <w:t xml:space="preserve">1. Why This Guide Exists</w:t>
      </w:r>
    </w:p>
    <w:p>
      <w:pPr>
        <w:spacing w:after="200" w:line="300"/>
      </w:pPr>
      <w:r>
        <w:rPr>
          <w:rFonts w:ascii="Segoe UI" w:cs="Segoe UI" w:eastAsia="Segoe UI" w:hAnsi="Segoe UI"/>
          <w:color w:val="444444"/>
          <w:sz w:val="22"/>
          <w:szCs w:val="22"/>
        </w:rPr>
        <w:t xml:space="preserve">Each of these four pieces got built to solve a real, immediate problem, explained once in the moment it appeared, and then folded into normal use. That’s the fast way to work, and it’s why the framework has moved as quickly as it has — but the accumulated result is a set of real, working mechanisms that nobody has ever described in one place. Anyone opening the WIP hub cold, including GiGi on a future visit, would have to reconstruct what “Sandbox,” “Governance &amp; Traceability,” or “GR-021” mean from context. This guide is that one place: what each piece is for, how something actually moves through them, and how they connect.</w:t>
      </w:r>
    </w:p>
    <w:p>
      <w:pPr>
        <w:spacing w:after="120" w:before="320"/>
      </w:pPr>
      <w:r>
        <w:rPr>
          <w:rFonts w:ascii="Georgia" w:cs="Georgia" w:eastAsia="Georgia" w:hAnsi="Georgia"/>
          <w:b/>
          <w:bCs/>
          <w:color w:val="0D2D4F"/>
          <w:sz w:val="26"/>
          <w:szCs w:val="26"/>
        </w:rPr>
        <w:t xml:space="preserve">2. The Sandbox — Try It Against Real Data First</w:t>
      </w:r>
    </w:p>
    <w:p>
      <w:pPr>
        <w:spacing w:after="200" w:line="300"/>
      </w:pPr>
      <w:r>
        <w:rPr>
          <w:rFonts w:ascii="Segoe UI" w:cs="Segoe UI" w:eastAsia="Segoe UI" w:hAnsi="Segoe UI"/>
          <w:color w:val="444444"/>
          <w:sz w:val="22"/>
          <w:szCs w:val="22"/>
        </w:rPr>
        <w:t xml:space="preserve">The Sandbox is a live, interactive page — today, exactly one: docs/sandbox/pcf7.html, covering PCF 7.0 (Develop and Manage Human Resources).</w:t>
      </w:r>
    </w:p>
    <w:p>
      <w:pPr>
        <w:pBdr>
          <w:left w:val="single" w:color="1B4F8A" w:sz="18" w:space="12"/>
        </w:pBdr>
        <w:spacing w:after="200" w:before="120" w:line="300"/>
        <w:ind w:left="300"/>
      </w:pPr>
      <w:r>
        <w:rPr>
          <w:rFonts w:ascii="Segoe UI" w:cs="Segoe UI" w:eastAsia="Segoe UI" w:hAnsi="Segoe UI"/>
          <w:i/>
          <w:iCs/>
          <w:color w:val="0D2D4F"/>
          <w:sz w:val="21"/>
          <w:szCs w:val="21"/>
        </w:rPr>
        <w:t xml:space="preserve">“Everything here is real data pulled from the live framework — nothing is simulated.”</w:t>
      </w:r>
    </w:p>
    <w:p>
      <w:pPr>
        <w:spacing w:after="200" w:line="300"/>
      </w:pPr>
      <w:r>
        <w:rPr>
          <w:rFonts w:ascii="Segoe UI" w:cs="Segoe UI" w:eastAsia="Segoe UI" w:hAnsi="Segoe UI"/>
          <w:color w:val="444444"/>
          <w:sz w:val="22"/>
          <w:szCs w:val="22"/>
        </w:rPr>
        <w:t xml:space="preserve">That’s the entire point of it. Before a new way of looking at the framework’s data gets written up as a formal proposal, it gets tried on against the real numbers first.</w:t>
      </w:r>
    </w:p>
    <w:p>
      <w:pPr>
        <w:spacing w:after="200" w:line="300"/>
      </w:pPr>
      <w:r>
        <w:rPr>
          <w:rFonts w:ascii="Segoe UI" w:cs="Segoe UI" w:eastAsia="Segoe UI" w:hAnsi="Segoe UI"/>
          <w:color w:val="444444"/>
          <w:sz w:val="22"/>
          <w:szCs w:val="22"/>
        </w:rPr>
        <w:t xml:space="preserve">Concretely, the PCF 7.0 sandbox lets you toggle between seven views of the same 53 hand-classified activities — the legacy Maturity Curve (M1–M5), the newer Working-Relationship view (Current State → Future State → Progression Ceiling, plus Consequence of Error), RACI, Value Stream Profile, Data View (CRUD), People View, and Readiness Gate — and leave a reaction or a note directly on any row using the Notes button. Both Tim and GiGi can see and add to those notes in the same 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3FA" w:sz="4"/>
              <w:left w:val="single" w:color="1B4F8A" w:sz="24"/>
              <w:bottom w:val="single" w:color="EEF3FA" w:sz="4"/>
              <w:right w:val="single" w:color="EEF3FA" w:sz="4"/>
            </w:tcBorders>
            <w:shd w:fill="EEF3FA" w:val="clear"/>
            <w:tcMar>
              <w:top w:type="dxa" w:w="160"/>
              <w:left w:type="dxa" w:w="220"/>
              <w:bottom w:type="dxa" w:w="160"/>
              <w:right w:type="dxa" w:w="220"/>
            </w:tcMar>
          </w:tcPr>
          <w:p>
            <w:pPr>
              <w:spacing w:after="0" w:line="300"/>
            </w:pPr>
            <w:r>
              <w:rPr>
                <w:rFonts w:ascii="Segoe UI" w:cs="Segoe UI" w:eastAsia="Segoe UI" w:hAnsi="Segoe UI"/>
                <w:b/>
                <w:bCs/>
                <w:color w:val="1B4F8A"/>
                <w:sz w:val="19"/>
                <w:szCs w:val="19"/>
              </w:rPr>
              <w:t xml:space="preserve">What it’s not:  </w:t>
            </w:r>
            <w:r>
              <w:rPr>
                <w:rFonts w:ascii="Segoe UI" w:cs="Segoe UI" w:eastAsia="Segoe UI" w:hAnsi="Segoe UI"/>
                <w:color w:val="222222"/>
                <w:sz w:val="19"/>
                <w:szCs w:val="19"/>
              </w:rPr>
              <w:t xml:space="preserve">a general staging area for arbitrary ideas. It’s a data-model testbed, scoped to whichever domain currently has one built. Extending it to another PCF domain, or another dataset entirely, is a separate build each time — not a standing capability.</w:t>
            </w:r>
          </w:p>
        </w:tc>
      </w:tr>
    </w:tbl>
    <w:p>
      <w:pPr>
        <w:spacing w:after="120"/>
      </w:pPr>
    </w:p>
    <w:p>
      <w:pPr>
        <w:spacing w:after="200" w:line="300"/>
      </w:pPr>
      <w:r>
        <w:rPr>
          <w:rFonts w:ascii="Segoe UI" w:cs="Segoe UI" w:eastAsia="Segoe UI" w:hAnsi="Segoe UI"/>
          <w:b/>
          <w:bCs/>
          <w:i/>
          <w:iCs/>
          <w:color w:val="888888"/>
          <w:sz w:val="20"/>
          <w:szCs w:val="20"/>
        </w:rPr>
        <w:t xml:space="preserve">Open, honestly:  </w:t>
      </w:r>
      <w:r>
        <w:rPr>
          <w:rFonts w:ascii="Segoe UI" w:cs="Segoe UI" w:eastAsia="Segoe UI" w:hAnsi="Segoe UI"/>
          <w:i/>
          <w:iCs/>
          <w:color w:val="888888"/>
          <w:sz w:val="20"/>
          <w:szCs w:val="20"/>
        </w:rPr>
        <w:t xml:space="preserve">there’s no defined mechanism today for how an idea that’s been tried out in the Sandbox formally becomes a WIP item. In practice it’s happened by conversation — the Working-Relationship view was tried in the PCF 7.0 sandbox first, then written up separately as the Working-Relationship Progression Methodology and posted to WIP. That worked once. Whether it needs to be more formal than that is an open question, not a settled one.</w:t>
      </w:r>
    </w:p>
    <w:p>
      <w:pPr>
        <w:spacing w:after="120" w:before="320"/>
      </w:pPr>
      <w:r>
        <w:rPr>
          <w:rFonts w:ascii="Georgia" w:cs="Georgia" w:eastAsia="Georgia" w:hAnsi="Georgia"/>
          <w:b/>
          <w:bCs/>
          <w:color w:val="0D2D4F"/>
          <w:sz w:val="26"/>
          <w:szCs w:val="26"/>
        </w:rPr>
        <w:t xml:space="preserve">3. WIP (Work in Progress) — Where Drafts Live Before They’re Official</w:t>
      </w:r>
    </w:p>
    <w:p>
      <w:pPr>
        <w:spacing w:after="200" w:line="300"/>
      </w:pPr>
      <w:r>
        <w:rPr>
          <w:rFonts w:ascii="Segoe UI" w:cs="Segoe UI" w:eastAsia="Segoe UI" w:hAnsi="Segoe UI"/>
          <w:color w:val="444444"/>
          <w:sz w:val="22"/>
          <w:szCs w:val="22"/>
        </w:rPr>
        <w:t xml:space="preserve">The WIP hub’s own intro states its purpose directly:</w:t>
      </w:r>
    </w:p>
    <w:p>
      <w:pPr>
        <w:pBdr>
          <w:left w:val="single" w:color="1B4F8A" w:sz="18" w:space="12"/>
        </w:pBdr>
        <w:spacing w:after="200" w:before="120" w:line="300"/>
        <w:ind w:left="300"/>
      </w:pPr>
      <w:r>
        <w:rPr>
          <w:rFonts w:ascii="Segoe UI" w:cs="Segoe UI" w:eastAsia="Segoe UI" w:hAnsi="Segoe UI"/>
          <w:i/>
          <w:iCs/>
          <w:color w:val="0D2D4F"/>
          <w:sz w:val="21"/>
          <w:szCs w:val="21"/>
        </w:rPr>
        <w:t xml:space="preserve">“Drafts, in one place, without bolting them onto the framework early.”</w:t>
      </w:r>
    </w:p>
    <w:p>
      <w:pPr>
        <w:spacing w:after="200" w:line="300"/>
      </w:pPr>
      <w:r>
        <w:rPr>
          <w:rFonts w:ascii="Segoe UI" w:cs="Segoe UI" w:eastAsia="Segoe UI" w:hAnsi="Segoe UI"/>
          <w:color w:val="444444"/>
          <w:sz w:val="22"/>
          <w:szCs w:val="22"/>
        </w:rPr>
        <w:t xml:space="preserve">Every item in it is real, working content — viewable and commentable just like the rest of the site — but deliberately unlinked from Documentation, the Dashboard, or any navigation, and gated behind Cloudflare Access. Nothing moves into the framework proper until it’s been reviewed and both Tim and GiGi are ready to make it official.</w:t>
      </w:r>
    </w:p>
    <w:p>
      <w:pPr>
        <w:spacing w:after="90" w:before="220"/>
      </w:pPr>
      <w:r>
        <w:rPr>
          <w:rFonts w:ascii="Georgia" w:cs="Georgia" w:eastAsia="Georgia" w:hAnsi="Georgia"/>
          <w:b/>
          <w:bCs/>
          <w:color w:val="1B4F8A"/>
          <w:sz w:val="21"/>
          <w:szCs w:val="21"/>
        </w:rPr>
        <w:t xml:space="preserve">Two independent tracks, not one status</w:t>
      </w:r>
    </w:p>
    <w:p>
      <w:pPr>
        <w:spacing w:after="200" w:line="300"/>
      </w:pPr>
      <w:r>
        <w:rPr>
          <w:rFonts w:ascii="Segoe UI" w:cs="Segoe UI" w:eastAsia="Segoe UI" w:hAnsi="Segoe UI"/>
          <w:color w:val="444444"/>
          <w:sz w:val="22"/>
          <w:szCs w:val="22"/>
        </w:rPr>
        <w:t xml:space="preserve">Every votable item carries two separate things, and it’s easy to conflate them:</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1613"/>
        <w:gridCol w:w="5242"/>
        <w:gridCol w:w="3226"/>
      </w:tblGrid>
      <w:tr>
        <w:trPr>
          <w:tblHeader/>
        </w:trPr>
        <w:tc>
          <w:tcPr>
            <w:tcW w:type="dxa" w:w="1613"/>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
            </w:r>
          </w:p>
        </w:tc>
        <w:tc>
          <w:tcPr>
            <w:tcW w:type="dxa" w:w="524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Development Stage</w:t>
            </w:r>
          </w:p>
        </w:tc>
        <w:tc>
          <w:tcPr>
            <w:tcW w:type="dxa" w:w="3226"/>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Vote / Review Status</w:t>
            </w:r>
          </w:p>
        </w:tc>
      </w:tr>
      <w:tr>
        <w:tc>
          <w:tcPr>
            <w:tcW w:type="dxa" w:w="1613"/>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Tracks</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How far the idea has actually been built and tested</w:t>
            </w:r>
          </w:p>
        </w:tc>
        <w:tc>
          <w:tcPr>
            <w:tcW w:type="dxa" w:w="3226"/>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Whether Tim and GiGi have signed off on it</w:t>
            </w:r>
          </w:p>
        </w:tc>
      </w:tr>
      <w:tr>
        <w:tc>
          <w:tcPr>
            <w:tcW w:type="dxa" w:w="1613"/>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Ladder</w:t>
            </w:r>
          </w:p>
        </w:tc>
        <w:tc>
          <w:tcPr>
            <w:tcW w:type="dxa" w:w="524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Concept → Step 1 Prototype → Step 2 Pressure Test → Step 3 Refine → Step 4 Pilot → Step 5 Validate → Step 6 Commercialize</w:t>
            </w:r>
          </w:p>
        </w:tc>
        <w:tc>
          <w:tcPr>
            <w:tcW w:type="dxa" w:w="3226"/>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Approve / Needs Revision / Park / Deny</w:t>
            </w:r>
          </w:p>
        </w:tc>
      </w:tr>
      <w:tr>
        <w:tc>
          <w:tcPr>
            <w:tcW w:type="dxa" w:w="1613"/>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Set per</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Section 5 of the Working Collaboration &amp; Co-Development Principles document</w:t>
            </w:r>
          </w:p>
        </w:tc>
        <w:tc>
          <w:tcPr>
            <w:tcW w:type="dxa" w:w="3226"/>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cast directly on each votable item’s own page</w:t>
            </w:r>
          </w:p>
        </w:tc>
      </w:tr>
    </w:tbl>
    <w:p>
      <w:pPr>
        <w:spacing w:after="200" w:line="300"/>
      </w:pPr>
      <w:r>
        <w:rPr>
          <w:rFonts w:ascii="Segoe UI" w:cs="Segoe UI" w:eastAsia="Segoe UI" w:hAnsi="Segoe UI"/>
          <w:color w:val="444444"/>
          <w:sz w:val="22"/>
          <w:szCs w:val="22"/>
        </w:rPr>
        <w:t xml:space="preserve">A concept can be well worth prototyping before anyone has formally approved it as a shared principle; conversely, an idea can be approved in principle before it’s been built out into a full methodology. Keeping these two axes separate avoids collapsing “we’re experimenting with this” and “this is now how we work” into a single status.</w:t>
      </w:r>
    </w:p>
    <w:p>
      <w:pPr>
        <w:spacing w:after="90" w:before="220"/>
      </w:pPr>
      <w:r>
        <w:rPr>
          <w:rFonts w:ascii="Georgia" w:cs="Georgia" w:eastAsia="Georgia" w:hAnsi="Georgia"/>
          <w:b/>
          <w:bCs/>
          <w:color w:val="1B4F8A"/>
          <w:sz w:val="21"/>
          <w:szCs w:val="21"/>
        </w:rPr>
        <w:t xml:space="preserve">Voting and promotion</w:t>
      </w:r>
    </w:p>
    <w:p>
      <w:pPr>
        <w:spacing w:after="200" w:line="300"/>
      </w:pPr>
      <w:r>
        <w:rPr>
          <w:rFonts w:ascii="Segoe UI" w:cs="Segoe UI" w:eastAsia="Segoe UI" w:hAnsi="Segoe UI"/>
          <w:color w:val="444444"/>
          <w:sz w:val="22"/>
          <w:szCs w:val="22"/>
        </w:rPr>
        <w:t xml:space="preserve">Voting happens directly on each votable item’s own page — the Approve / Needs Revision / Park / Deny controls sit right there, along with both reviewers’ current picks, and the WIP hub’s catalog table reflects the same live vote data. Both Tim and GiGi have to agree for an item to resolve; a disagreement shows as Needs Discussion rather than forcing a false consensus. Once an item is Approved, a Publish control (visible to Tim/admin only) marks it Pending Publish; moving it to actually Mark Published — the step that makes it part of the live framework — happens as a real, collaborative walkthrough when Tim opens a chat to do it. It’s never automatic.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3FA" w:sz="4"/>
              <w:left w:val="single" w:color="1B4F8A" w:sz="24"/>
              <w:bottom w:val="single" w:color="EEF3FA" w:sz="4"/>
              <w:right w:val="single" w:color="EEF3FA" w:sz="4"/>
            </w:tcBorders>
            <w:shd w:fill="EEF3FA" w:val="clear"/>
            <w:tcMar>
              <w:top w:type="dxa" w:w="160"/>
              <w:left w:type="dxa" w:w="220"/>
              <w:bottom w:type="dxa" w:w="160"/>
              <w:right w:type="dxa" w:w="220"/>
            </w:tcMar>
          </w:tcPr>
          <w:p>
            <w:pPr>
              <w:spacing w:after="0" w:line="300"/>
            </w:pPr>
            <w:r>
              <w:rPr>
                <w:rFonts w:ascii="Segoe UI" w:cs="Segoe UI" w:eastAsia="Segoe UI" w:hAnsi="Segoe UI"/>
                <w:b/>
                <w:bCs/>
                <w:color w:val="1B4F8A"/>
                <w:sz w:val="19"/>
                <w:szCs w:val="19"/>
              </w:rPr>
              <w:t xml:space="preserve">Where to look:  </w:t>
            </w:r>
            <w:r>
              <w:rPr>
                <w:rFonts w:ascii="Segoe UI" w:cs="Segoe UI" w:eastAsia="Segoe UI" w:hAnsi="Segoe UI"/>
                <w:color w:val="222222"/>
                <w:sz w:val="19"/>
                <w:szCs w:val="19"/>
              </w:rPr>
              <w:t xml:space="preserve">the voting section sits at the very top of each votable item’s HTML file — mounted right below the masthead, above the document’s own content. Open any votable item and it’s the first thing on the page, not something to scroll down for.</w:t>
            </w:r>
          </w:p>
        </w:tc>
      </w:tr>
    </w:tbl>
    <w:p>
      <w:pPr>
        <w:spacing w:after="90" w:before="220"/>
      </w:pPr>
      <w:r>
        <w:rPr>
          <w:rFonts w:ascii="Georgia" w:cs="Georgia" w:eastAsia="Georgia" w:hAnsi="Georgia"/>
          <w:b/>
          <w:bCs/>
          <w:color w:val="1B4F8A"/>
          <w:sz w:val="21"/>
          <w:szCs w:val="21"/>
        </w:rPr>
        <w:t xml:space="preserve">The catalog’s groups</w:t>
      </w:r>
    </w:p>
    <w:p>
      <w:pPr>
        <w:spacing w:after="200" w:line="300"/>
      </w:pPr>
      <w:r>
        <w:rPr>
          <w:rFonts w:ascii="Segoe UI" w:cs="Segoe UI" w:eastAsia="Segoe UI" w:hAnsi="Segoe UI"/>
          <w:color w:val="444444"/>
          <w:sz w:val="22"/>
          <w:szCs w:val="22"/>
        </w:rPr>
        <w:t xml:space="preserve">Items are grouped by kind, not by date: Role Pattern Transition Narratives (the three worked role examples), Concepts &amp; Design Principles (framework-level ideas not yet tied to a specific role or dataset), Governance &amp; Traceability (tools that manage the catalog itself — the Requirements Register and this guide, both non-votable), and External &amp; Partner Review Notes (GiGi’s own working review, kept in her words rather than tracked against the build-stage ladder).</w:t>
      </w:r>
    </w:p>
    <w:p>
      <w:pPr>
        <w:spacing w:after="120" w:before="320"/>
      </w:pPr>
      <w:r>
        <w:rPr>
          <w:rFonts w:ascii="Georgia" w:cs="Georgia" w:eastAsia="Georgia" w:hAnsi="Georgia"/>
          <w:b/>
          <w:bCs/>
          <w:color w:val="0D2D4F"/>
          <w:sz w:val="26"/>
          <w:szCs w:val="26"/>
        </w:rPr>
        <w:t xml:space="preserve">4. The Requirements Register — The Traceability Spine</w:t>
      </w:r>
    </w:p>
    <w:p>
      <w:pPr>
        <w:spacing w:after="200" w:line="300"/>
      </w:pPr>
      <w:r>
        <w:rPr>
          <w:rFonts w:ascii="Segoe UI" w:cs="Segoe UI" w:eastAsia="Segoe UI" w:hAnsi="Segoe UI"/>
          <w:color w:val="444444"/>
          <w:sz w:val="22"/>
          <w:szCs w:val="22"/>
        </w:rPr>
        <w:t xml:space="preserve">The Requirements Register (HITL_Requirements_Register.xlsx) is a 35-row spreadsheet, GR-001 through GR-035, distilled from GiGi’s two evaluation documents. Each row carries her original observation, the requirement distilled from it, a category, the converged design construct, the specific Design Spec document and section that addresses it, a status (Implemented / Designed / Partially Addressed / Open), a cross-reference to the WIP item that carries it, and working notes.</w:t>
      </w:r>
    </w:p>
    <w:p>
      <w:pPr>
        <w:spacing w:after="200" w:line="300"/>
      </w:pPr>
      <w:r>
        <w:rPr>
          <w:rFonts w:ascii="Segoe UI" w:cs="Segoe UI" w:eastAsia="Segoe UI" w:hAnsi="Segoe UI"/>
          <w:color w:val="444444"/>
          <w:sz w:val="22"/>
          <w:szCs w:val="22"/>
        </w:rPr>
        <w:t xml:space="preserve">It lives in the WIP hub itself, in the Governance &amp; Traceability group, marked as a living document rather than something moving through the stage ladder — it’s a tracking tool, not a proposal. The register threads through every votable WIP item by way of that item’s own Related Requirements box, which cites the specific GR-### rows the item addresses and an honest status note for each. It’s the single place to answer “which requirement does this WIP item actually address” without having to reread GiGi’s original documents.</w:t>
      </w:r>
    </w:p>
    <w:p>
      <w:pPr>
        <w:spacing w:after="120" w:before="320"/>
      </w:pPr>
      <w:r>
        <w:rPr>
          <w:rFonts w:ascii="Georgia" w:cs="Georgia" w:eastAsia="Georgia" w:hAnsi="Georgia"/>
          <w:b/>
          <w:bCs/>
          <w:color w:val="0D2D4F"/>
          <w:sz w:val="26"/>
          <w:szCs w:val="26"/>
        </w:rPr>
        <w:t xml:space="preserve">5. The Design Spec Template — The Shape a Methodology Takes</w:t>
      </w:r>
    </w:p>
    <w:p>
      <w:pPr>
        <w:spacing w:after="200" w:line="300"/>
      </w:pPr>
      <w:r>
        <w:rPr>
          <w:rFonts w:ascii="Segoe UI" w:cs="Segoe UI" w:eastAsia="Segoe UI" w:hAnsi="Segoe UI"/>
          <w:color w:val="444444"/>
          <w:sz w:val="22"/>
          <w:szCs w:val="22"/>
        </w:rPr>
        <w:t xml:space="preserve">Not every WIP item is written the same way. There are two content shapes in active use, and which one an item gets depends on what kind of thing it is:</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1310"/>
        <w:gridCol w:w="5242"/>
        <w:gridCol w:w="3528"/>
      </w:tblGrid>
      <w:tr>
        <w:trPr>
          <w:tblHeader/>
        </w:trPr>
        <w:tc>
          <w:tcPr>
            <w:tcW w:type="dxa" w:w="1310"/>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
            </w:r>
          </w:p>
        </w:tc>
        <w:tc>
          <w:tcPr>
            <w:tcW w:type="dxa" w:w="524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Design Spec Template (10 sections)</w:t>
            </w:r>
          </w:p>
        </w:tc>
        <w:tc>
          <w:tcPr>
            <w:tcW w:type="dxa" w:w="3528"/>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Rule 19 shape (5 sections)</w:t>
            </w:r>
          </w:p>
        </w:tc>
      </w:tr>
      <w:tr>
        <w:tc>
          <w:tcPr>
            <w:tcW w:type="dxa" w:w="1310"/>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For</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Methodology / model-layer constructs — things that define how the framework itself works</w:t>
            </w:r>
          </w:p>
        </w:tc>
        <w:tc>
          <w:tcPr>
            <w:tcW w:type="dxa" w:w="3528"/>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Tactical, site-mechanics proposals — a badge, a color standard, a rule catalog entry</w:t>
            </w:r>
          </w:p>
        </w:tc>
      </w:tr>
      <w:tr>
        <w:tc>
          <w:tcPr>
            <w:tcW w:type="dxa" w:w="1310"/>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Sections</w:t>
            </w:r>
          </w:p>
        </w:tc>
        <w:tc>
          <w:tcPr>
            <w:tcW w:type="dxa" w:w="524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Why This Layer Exists · Core Model · Data Model · Granularity · Gate/Decision Logic · Evidence/Instrumentation · Downstream/Propagation Effects · Pilots/Validation · Known Open Constructs · Sourcing/Validation &amp; Scope Boundary</w:t>
            </w:r>
          </w:p>
        </w:tc>
        <w:tc>
          <w:tcPr>
            <w:tcW w:type="dxa" w:w="3528"/>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Why This Now · The Problem · The Recommendation · Proposed Tokens · Build Note</w:t>
            </w:r>
          </w:p>
        </w:tc>
      </w:tr>
      <w:tr>
        <w:tc>
          <w:tcPr>
            <w:tcW w:type="dxa" w:w="1310"/>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Examples</w:t>
            </w:r>
          </w:p>
        </w:tc>
        <w:tc>
          <w:tcPr>
            <w:tcW w:type="dxa" w:w="524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Working-Relationship Progression Methodology; The Shock Wave Effect; From Concept to Principle</w:t>
            </w:r>
          </w:p>
        </w:tc>
        <w:tc>
          <w:tcPr>
            <w:tcW w:type="dxa" w:w="3528"/>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 Provenance Badge Standard; Work Pattern Color Standard; the Framework Content Generation Rules catalog</w:t>
            </w:r>
          </w:p>
        </w:tc>
      </w:tr>
    </w:tbl>
    <w:p>
      <w:pPr>
        <w:spacing w:after="200" w:line="300"/>
      </w:pPr>
      <w:r>
        <w:rPr>
          <w:rFonts w:ascii="Segoe UI" w:cs="Segoe UI" w:eastAsia="Segoe UI" w:hAnsi="Segoe UI"/>
          <w:color w:val="444444"/>
          <w:sz w:val="22"/>
          <w:szCs w:val="22"/>
        </w:rPr>
        <w:t xml:space="preserve">The 10-section shape wasn’t designed up front — it was reverse-engineered from the Working-Relationship Progression Methodology’s own structure once that proved out as a durable way to organize a methodology-level document, then applied to the two other model-layer concepts already in WIP. Which shape a new item gets is ultimately Tim’s call; it isn’t mechanical, and a document can honestly say a given section doesn’t apply to it yet (a “gap” section) rather than force content that isn’t real.</w:t>
      </w:r>
    </w:p>
    <w:p>
      <w:pPr>
        <w:spacing w:after="120" w:before="320"/>
      </w:pPr>
      <w:r>
        <w:rPr>
          <w:rFonts w:ascii="Georgia" w:cs="Georgia" w:eastAsia="Georgia" w:hAnsi="Georgia"/>
          <w:b/>
          <w:bCs/>
          <w:color w:val="0D2D4F"/>
          <w:sz w:val="26"/>
          <w:szCs w:val="26"/>
        </w:rPr>
        <w:t xml:space="preserve">6. How They Connect — A Worked Example</w:t>
      </w:r>
    </w:p>
    <w:p>
      <w:pPr>
        <w:spacing w:after="200" w:line="300"/>
      </w:pPr>
      <w:r>
        <w:rPr>
          <w:rFonts w:ascii="Segoe UI" w:cs="Segoe UI" w:eastAsia="Segoe UI" w:hAnsi="Segoe UI"/>
          <w:color w:val="444444"/>
          <w:sz w:val="22"/>
          <w:szCs w:val="22"/>
        </w:rPr>
        <w:t xml:space="preserve">The clearest way to see all four pieces working together is to follow one real idea through the whole path — the Working-Relationship Progression Methodology (WRPM):</w:t>
      </w:r>
    </w:p>
    <w:p>
      <w:pPr>
        <w:spacing w:after="130" w:line="280"/>
        <w:ind w:left="260" w:hanging="260"/>
      </w:pPr>
      <w:r>
        <w:rPr>
          <w:rFonts w:ascii="Segoe UI" w:cs="Segoe UI" w:eastAsia="Segoe UI" w:hAnsi="Segoe UI"/>
          <w:b/>
          <w:bCs/>
          <w:color w:val="1B4F8A"/>
          <w:sz w:val="20"/>
          <w:szCs w:val="20"/>
        </w:rPr>
        <w:t xml:space="preserve">1.  </w:t>
      </w:r>
      <w:r>
        <w:rPr>
          <w:rFonts w:ascii="Segoe UI" w:cs="Segoe UI" w:eastAsia="Segoe UI" w:hAnsi="Segoe UI"/>
          <w:color w:val="444444"/>
          <w:sz w:val="20"/>
          <w:szCs w:val="20"/>
        </w:rPr>
        <w:t xml:space="preserve">Tried first in the PCF 7.0 Sandbox as an alternate view over the Maturity Table, against real activity data</w:t>
      </w:r>
    </w:p>
    <w:p>
      <w:pPr>
        <w:spacing w:after="130" w:line="280"/>
        <w:ind w:left="260" w:hanging="260"/>
      </w:pPr>
      <w:r>
        <w:rPr>
          <w:rFonts w:ascii="Segoe UI" w:cs="Segoe UI" w:eastAsia="Segoe UI" w:hAnsi="Segoe UI"/>
          <w:b/>
          <w:bCs/>
          <w:color w:val="1B4F8A"/>
          <w:sz w:val="20"/>
          <w:szCs w:val="20"/>
        </w:rPr>
        <w:t xml:space="preserve">2.  </w:t>
      </w:r>
      <w:r>
        <w:rPr>
          <w:rFonts w:ascii="Segoe UI" w:cs="Segoe UI" w:eastAsia="Segoe UI" w:hAnsi="Segoe UI"/>
          <w:color w:val="444444"/>
          <w:sz w:val="20"/>
          <w:szCs w:val="20"/>
        </w:rPr>
        <w:t xml:space="preserve">Written up as its own document, in the Design Spec Template’s 10-section shape, since it’s a methodology-level change</w:t>
      </w:r>
    </w:p>
    <w:p>
      <w:pPr>
        <w:spacing w:after="130" w:line="280"/>
        <w:ind w:left="260" w:hanging="260"/>
      </w:pPr>
      <w:r>
        <w:rPr>
          <w:rFonts w:ascii="Segoe UI" w:cs="Segoe UI" w:eastAsia="Segoe UI" w:hAnsi="Segoe UI"/>
          <w:b/>
          <w:bCs/>
          <w:color w:val="1B4F8A"/>
          <w:sz w:val="20"/>
          <w:szCs w:val="20"/>
        </w:rPr>
        <w:t xml:space="preserve">3.  </w:t>
      </w:r>
      <w:r>
        <w:rPr>
          <w:rFonts w:ascii="Segoe UI" w:cs="Segoe UI" w:eastAsia="Segoe UI" w:hAnsi="Segoe UI"/>
          <w:color w:val="444444"/>
          <w:sz w:val="20"/>
          <w:szCs w:val="20"/>
        </w:rPr>
        <w:t xml:space="preserve">Posted to WIP, marked Step 2 · Pressure Test on the development ladder</w:t>
      </w:r>
    </w:p>
    <w:p>
      <w:pPr>
        <w:spacing w:after="130" w:line="280"/>
        <w:ind w:left="260" w:hanging="260"/>
      </w:pPr>
      <w:r>
        <w:rPr>
          <w:rFonts w:ascii="Segoe UI" w:cs="Segoe UI" w:eastAsia="Segoe UI" w:hAnsi="Segoe UI"/>
          <w:b/>
          <w:bCs/>
          <w:color w:val="1B4F8A"/>
          <w:sz w:val="20"/>
          <w:szCs w:val="20"/>
        </w:rPr>
        <w:t xml:space="preserve">4.  </w:t>
      </w:r>
      <w:r>
        <w:rPr>
          <w:rFonts w:ascii="Segoe UI" w:cs="Segoe UI" w:eastAsia="Segoe UI" w:hAnsi="Segoe UI"/>
          <w:color w:val="444444"/>
          <w:sz w:val="20"/>
          <w:szCs w:val="20"/>
        </w:rPr>
        <w:t xml:space="preserve">Requirements Register rows updated to trace which of GiGi’s original requirements the methodology addresses</w:t>
      </w:r>
    </w:p>
    <w:p>
      <w:pPr>
        <w:spacing w:after="130" w:line="280"/>
        <w:ind w:left="260" w:hanging="260"/>
      </w:pPr>
      <w:r>
        <w:rPr>
          <w:rFonts w:ascii="Segoe UI" w:cs="Segoe UI" w:eastAsia="Segoe UI" w:hAnsi="Segoe UI"/>
          <w:b/>
          <w:bCs/>
          <w:color w:val="1B4F8A"/>
          <w:sz w:val="20"/>
          <w:szCs w:val="20"/>
        </w:rPr>
        <w:t xml:space="preserve">5.  </w:t>
      </w:r>
      <w:r>
        <w:rPr>
          <w:rFonts w:ascii="Segoe UI" w:cs="Segoe UI" w:eastAsia="Segoe UI" w:hAnsi="Segoe UI"/>
          <w:color w:val="444444"/>
          <w:sz w:val="20"/>
          <w:szCs w:val="20"/>
        </w:rPr>
        <w:t xml:space="preserve">Sitting for Tim and GiGi’s vote — Approve / Needs Revision / Park / Deny — before Publish becomes available</w:t>
      </w:r>
    </w:p>
    <w:p>
      <w:pPr>
        <w:spacing w:after="120"/>
      </w:pPr>
    </w:p>
    <w:p>
      <w:pPr>
        <w:spacing w:after="200" w:line="300"/>
      </w:pPr>
      <w:r>
        <w:rPr>
          <w:rFonts w:ascii="Segoe UI" w:cs="Segoe UI" w:eastAsia="Segoe UI" w:hAnsi="Segoe UI"/>
          <w:color w:val="444444"/>
          <w:sz w:val="22"/>
          <w:szCs w:val="22"/>
        </w:rPr>
        <w:t xml:space="preserve">Nothing here skips a step, and nothing here is automatic. The point of walking it end to end isn’t that every idea must move through all five stages in order — a tactical proposal like the Work Pattern Color Standard never touches the Sandbox at all, because there’s no dataset to test it against. It’s that when an idea does move through all of them, this is what that path actually looks like, so a reader doesn’t have to reconstruct it from scattered context the way this guide’s own §1 describes.</w:t>
      </w:r>
    </w:p>
    <w:p>
      <w:pPr>
        <w:spacing w:after="120" w:before="320"/>
      </w:pPr>
      <w:r>
        <w:rPr>
          <w:rFonts w:ascii="Georgia" w:cs="Georgia" w:eastAsia="Georgia" w:hAnsi="Georgia"/>
          <w:b/>
          <w:bCs/>
          <w:color w:val="0D2D4F"/>
          <w:sz w:val="26"/>
          <w:szCs w:val="26"/>
        </w:rPr>
        <w:t xml:space="preserve">7. Quick Reference</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2419"/>
        <w:gridCol w:w="7661"/>
      </w:tblGrid>
      <w:tr>
        <w:trPr>
          <w:tblHeader/>
        </w:trPr>
        <w:tc>
          <w:tcPr>
            <w:tcW w:type="dxa" w:w="2419"/>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Term</w:t>
            </w:r>
          </w:p>
        </w:tc>
        <w:tc>
          <w:tcPr>
            <w:tcW w:type="dxa" w:w="7661"/>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One-line definition</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Sandbox</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live data page for trying a new lens against real framework numbers before it’s proposed as a WIP item</w:t>
            </w:r>
          </w:p>
        </w:tc>
      </w:tr>
      <w:tr>
        <w:tc>
          <w:tcPr>
            <w:tcW w:type="dxa" w:w="241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WIP</w:t>
            </w:r>
          </w:p>
        </w:tc>
        <w:tc>
          <w:tcPr>
            <w:tcW w:type="dxa" w:w="766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unlinked, access-gated hub where drafts are reviewed and voted on before anything becomes official</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Votable item</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A WIP page carrying live Approve / Needs Revision / Park / Deny controls</w:t>
            </w:r>
          </w:p>
        </w:tc>
      </w:tr>
      <w:tr>
        <w:tc>
          <w:tcPr>
            <w:tcW w:type="dxa" w:w="241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Development stage</w:t>
            </w:r>
          </w:p>
        </w:tc>
        <w:tc>
          <w:tcPr>
            <w:tcW w:type="dxa" w:w="766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Concept→…→Commercialize ladder (Section 5) — how far built, independent of vote status</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Requirements Register</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GR-001–GR-035 spreadsheet tracing GiGi’s original requirements to the WIP items and Design Spec sections addressing them</w:t>
            </w:r>
          </w:p>
        </w:tc>
      </w:tr>
      <w:tr>
        <w:tc>
          <w:tcPr>
            <w:tcW w:type="dxa" w:w="241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Design Spec Template</w:t>
            </w:r>
          </w:p>
        </w:tc>
        <w:tc>
          <w:tcPr>
            <w:tcW w:type="dxa" w:w="766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10-section shape for methodology/model-layer WIP documents, as opposed to Rule 19’s 5-section tactical shape</w:t>
            </w:r>
          </w:p>
        </w:tc>
      </w:tr>
      <w:tr>
        <w:tc>
          <w:tcPr>
            <w:tcW w:type="dxa" w:w="241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Governance &amp; Traceability</w:t>
            </w:r>
          </w:p>
        </w:tc>
        <w:tc>
          <w:tcPr>
            <w:tcW w:type="dxa" w:w="766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WIP catalog group holding tools that manage the catalog itself — the Register and this guide — rather than proposals</w:t>
            </w:r>
          </w:p>
        </w:tc>
      </w:tr>
    </w:tbl>
    <w:p>
      <w:pPr>
        <w:spacing w:after="90" w:before="220"/>
      </w:pPr>
      <w:r>
        <w:rPr>
          <w:rFonts w:ascii="Georgia" w:cs="Georgia" w:eastAsia="Georgia" w:hAnsi="Georgia"/>
          <w:b/>
          <w:bCs/>
          <w:color w:val="1B4F8A"/>
          <w:sz w:val="21"/>
          <w:szCs w:val="21"/>
        </w:rPr>
        <w:t xml:space="preserve">Where to Find Each One</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3629"/>
        <w:gridCol w:w="6451"/>
      </w:tblGrid>
      <w:tr>
        <w:trPr>
          <w:tblHeader/>
        </w:trPr>
        <w:tc>
          <w:tcPr>
            <w:tcW w:type="dxa" w:w="3629"/>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Where to Find It</w:t>
            </w:r>
          </w:p>
        </w:tc>
        <w:tc>
          <w:tcPr>
            <w:tcW w:type="dxa" w:w="6451"/>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Live URL</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WIP hub (this catalog)</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Sandbox (PCF 7.0)</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https://hitldrivenarchitecture.com/sandbox/pcf7</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Requirements Register</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https://hitldrivenarchitecture.com/wip/HITL_Requirements_Register.xlsx</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Design Spec Template — worked examples:</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  – Working-Relationship Progression Methodology</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https://hitldrivenarchitecture.com/wip/working_relationship_progression_methodology</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  – The Shock Wave Effect</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https://hitldrivenarchitecture.com/wip/the_shock_wave_effect</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  – From Concept to Principle</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https://hitldrivenarchitecture.com/wip/from_concept_to_principle</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This guide</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https://hitldrivenarchitecture.com/wip/how_this_site_works (once published)</w:t>
            </w:r>
          </w:p>
        </w:tc>
      </w:tr>
      <w:tr>
        <w:tc>
          <w:tcPr>
            <w:tcW w:type="dxa" w:w="3629"/>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Documentation (live site)</w:t>
            </w:r>
          </w:p>
        </w:tc>
        <w:tc>
          <w:tcPr>
            <w:tcW w:type="dxa" w:w="6451"/>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w:t>
            </w:r>
          </w:p>
        </w:tc>
      </w:tr>
      <w:tr>
        <w:tc>
          <w:tcPr>
            <w:tcW w:type="dxa" w:w="3629"/>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Dashboard</w:t>
            </w:r>
          </w:p>
        </w:tc>
        <w:tc>
          <w:tcPr>
            <w:tcW w:type="dxa" w:w="6451"/>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https://hitldrivenarchitecture.com/hitl_dashboard_final</w:t>
            </w:r>
          </w:p>
        </w:tc>
      </w:tr>
    </w:tbl>
    <w:p>
      <w:pPr>
        <w:spacing w:after="100"/>
      </w:pPr>
    </w:p>
    <w:p>
      <w:pPr>
        <w:spacing w:after="200" w:line="300"/>
      </w:pPr>
      <w:r>
        <w:rPr>
          <w:rFonts w:ascii="Segoe UI" w:cs="Segoe UI" w:eastAsia="Segoe UI" w:hAnsi="Segoe UI"/>
          <w:b/>
          <w:bCs/>
          <w:i/>
          <w:iCs/>
          <w:color w:val="888888"/>
          <w:sz w:val="18"/>
          <w:szCs w:val="18"/>
        </w:rPr>
        <w:t xml:space="preserve">Note:  </w:t>
      </w:r>
      <w:r>
        <w:rPr>
          <w:rFonts w:ascii="Segoe UI" w:cs="Segoe UI" w:eastAsia="Segoe UI" w:hAnsi="Segoe UI"/>
          <w:i/>
          <w:iCs/>
          <w:color w:val="888888"/>
          <w:sz w:val="18"/>
          <w:szCs w:val="18"/>
        </w:rPr>
        <w:t xml:space="preserve">The WIP hub and Sandbox URLs above are exactly as given. The rest follow the same clean-URL pattern (Cloudflare strips .html and serves index.html for a trailing-slash path, per the assets binding in wrangler.jsonc) — worth a quick click-check since they weren’t independently verified live.</w:t>
      </w:r>
    </w:p>
    <w:p>
      <w:pPr>
        <w:spacing w:after="80"/>
      </w:pPr>
    </w:p>
    <w:p>
      <w:pPr>
        <w:spacing w:after="200" w:line="300"/>
      </w:pPr>
      <w:r>
        <w:rPr>
          <w:rFonts w:ascii="Segoe UI" w:cs="Segoe UI" w:eastAsia="Segoe UI" w:hAnsi="Segoe UI"/>
          <w:color w:val="444444"/>
          <w:sz w:val="22"/>
          <w:szCs w:val="22"/>
        </w:rPr>
        <w:t xml:space="preserve">This is a living reference — if any of these mechanics change (a new stage gets added to the vote ladder, the Sandbox gets a second domain, the Design Spec Template’s sections get revised), this page should be updated alongside that change, the same way the Requirements Register is kept current rather than versioned as a one-time snapshot.</w:t>
      </w:r>
    </w:p>
    <w:p>
      <w:pPr>
        <w:pBdr>
          <w:top w:val="single" w:color="DDE3EE" w:sz="4" w:space="12"/>
        </w:pBdr>
        <w:spacing w:before="300"/>
      </w:pPr>
      <w:r>
        <w:rPr>
          <w:rFonts w:ascii="Segoe UI" w:cs="Segoe UI" w:eastAsia="Segoe UI" w:hAnsi="Segoe UI"/>
          <w:color w:val="888888"/>
          <w:sz w:val="17"/>
          <w:szCs w:val="17"/>
        </w:rPr>
        <w:t xml:space="preserve">Reference guide — Tim King and GiGi Garcia</w:t>
      </w:r>
    </w:p>
    <w:p>
      <w:r>
        <w:rPr>
          <w:rFonts w:ascii="Segoe UI" w:cs="Segoe UI" w:eastAsia="Segoe UI" w:hAnsi="Segoe UI"/>
          <w:color w:val="888888"/>
          <w:sz w:val="17"/>
          <w:szCs w:val="17"/>
        </w:rPr>
        <w:t xml:space="preserve">HITL-Driven Architecture · developed with the assistance of Claude (Anthropic)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2026-09-16T12:17:58.921Z</dcterms:created>
  <dcterms:modified xsi:type="dcterms:W3CDTF">2026-09-16T12:17:58.935Z</dcterms:modified>
</cp:coreProperties>
</file>

<file path=docProps/custom.xml><?xml version="1.0" encoding="utf-8"?>
<Properties xmlns="http://schemas.openxmlformats.org/officeDocument/2006/custom-properties" xmlns:vt="http://schemas.openxmlformats.org/officeDocument/2006/docPropsVTypes"/>
</file>