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2D4F" w:sz="4"/>
              <w:left w:val="single" w:color="0D2D4F" w:sz="24"/>
              <w:bottom w:val="single" w:color="0D2D4F" w:sz="4"/>
              <w:right w:val="single" w:color="0D2D4F" w:sz="4"/>
            </w:tcBorders>
            <w:shd w:fill="0D2D4F" w:val="clear"/>
            <w:tcMar>
              <w:top w:type="dxa" w:w="160"/>
              <w:left w:type="dxa" w:w="220"/>
              <w:bottom w:type="dxa" w:w="160"/>
              <w:right w:type="dxa" w:w="220"/>
            </w:tcMar>
          </w:tcPr>
          <w:p>
            <w:pPr>
              <w:spacing w:after="60"/>
            </w:pPr>
            <w:r>
              <w:rPr>
                <w:rFonts w:ascii="Consolas" w:cs="Consolas" w:eastAsia="Consolas" w:hAnsi="Consolas"/>
                <w:b/>
                <w:bCs/>
                <w:caps/>
                <w:color w:val="EEF3FA"/>
                <w:sz w:val="16"/>
                <w:szCs w:val="16"/>
              </w:rPr>
              <w:t xml:space="preserve">HITL-Driven Architecture · Design Spec (§§1–10)</w:t>
            </w:r>
          </w:p>
          <w:p>
            <w:pPr>
              <w:spacing w:after="40"/>
            </w:pPr>
            <w:r>
              <w:rPr>
                <w:rFonts w:ascii="Georgia" w:cs="Georgia" w:eastAsia="Georgia" w:hAnsi="Georgia"/>
                <w:b/>
                <w:bCs/>
                <w:color w:val="FFFFFF"/>
                <w:sz w:val="34"/>
                <w:szCs w:val="34"/>
              </w:rPr>
              <w:t xml:space="preserve">The Shock Wave Effect</w:t>
            </w:r>
          </w:p>
          <w:p>
            <w:pPr>
              <w:spacing w:after="0"/>
            </w:pPr>
            <w:r>
              <w:rPr>
                <w:rFonts w:ascii="Segoe UI" w:cs="Segoe UI" w:eastAsia="Segoe UI" w:hAnsi="Segoe UI"/>
                <w:i/>
                <w:iCs/>
                <w:color w:val="EEF3FA"/>
                <w:sz w:val="20"/>
                <w:szCs w:val="20"/>
              </w:rPr>
              <w:t xml:space="preserve">How change propagates through an organization — and what happens when it hits multiple domains at once</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4"/>
              <w:left w:val="single" w:color="B8873F" w:sz="24"/>
              <w:bottom w:val="single" w:color="FEF3C7" w:sz="4"/>
              <w:right w:val="single" w:color="FEF3C7" w:sz="4"/>
            </w:tcBorders>
            <w:shd w:fill="FEF3C7" w:val="clear"/>
            <w:tcMar>
              <w:top w:type="dxa" w:w="160"/>
              <w:left w:type="dxa" w:w="220"/>
              <w:bottom w:type="dxa" w:w="160"/>
              <w:right w:type="dxa" w:w="220"/>
            </w:tcMar>
          </w:tcPr>
          <w:p>
            <w:pPr>
              <w:spacing w:line="280"/>
            </w:pPr>
            <w:r>
              <w:rPr>
                <w:rFonts w:ascii="Segoe UI" w:cs="Segoe UI" w:eastAsia="Segoe UI" w:hAnsi="Segoe UI"/>
                <w:b/>
                <w:bCs/>
                <w:i/>
                <w:iCs/>
                <w:color w:val="7A5A1E"/>
                <w:sz w:val="20"/>
                <w:szCs w:val="20"/>
              </w:rPr>
              <w:t xml:space="preserve">Status — Concept Stage, For Joint Review.  </w:t>
            </w:r>
            <w:r>
              <w:rPr>
                <w:rFonts w:ascii="Segoe UI" w:cs="Segoe UI" w:eastAsia="Segoe UI" w:hAnsi="Segoe UI"/>
                <w:i/>
                <w:iCs/>
                <w:color w:val="7A5A1E"/>
                <w:sz w:val="20"/>
                <w:szCs w:val="20"/>
              </w:rPr>
              <w:t xml:space="preserve">Working idea, not yet part of the built framework, and not yet reviewed by GiGi. Restructured into the framework’s Design Spec Template on Sept 15, 2026 to match the two-tier content-shape system — this is a methodology/model-layer document, not a tactical site-mechanics proposal, so it now carries the same ten-section shape as the Working-Relationship Progression Methodology. The underlying ideas are unchanged from the version GiGi hasn’t yet seen; only the shape changed. For joint discussion, not a settled position.</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8EE" w:sz="4"/>
              <w:left w:val="single" w:color="1B4F8A" w:sz="24"/>
              <w:bottom w:val="single" w:color="C6D8EE" w:sz="4"/>
              <w:right w:val="single" w:color="C6D8EE" w:sz="4"/>
            </w:tcBorders>
            <w:shd w:fill="EEF3FA" w:val="clear"/>
            <w:tcMar>
              <w:top w:type="dxa" w:w="160"/>
              <w:left w:type="dxa" w:w="220"/>
              <w:bottom w:type="dxa" w:w="160"/>
              <w:right w:type="dxa" w:w="220"/>
            </w:tcMar>
          </w:tcPr>
          <w:p>
            <w:pPr>
              <w:spacing w:after="90"/>
            </w:pPr>
            <w:r>
              <w:rPr>
                <w:rFonts w:ascii="Segoe UI" w:cs="Segoe UI" w:eastAsia="Segoe UI" w:hAnsi="Segoe UI"/>
                <w:b/>
                <w:bCs/>
                <w:color w:val="0D2D4F"/>
                <w:sz w:val="15"/>
                <w:szCs w:val="15"/>
              </w:rPr>
              <w:t xml:space="preserve">RELATED REQUIREMENTS — REQUIREMENTS REGISTER (GIGI’S EVALUATION DOCS)</w:t>
            </w:r>
          </w:p>
          <w:p>
            <w:pPr>
              <w:pStyle w:val="ListParagraph"/>
              <w:numPr>
                <w:ilvl w:val="0"/>
                <w:numId w:val="1"/>
              </w:numPr>
              <w:spacing w:after="70" w:line="270"/>
            </w:pPr>
            <w:r>
              <w:rPr>
                <w:rFonts w:ascii="Consolas" w:cs="Consolas" w:eastAsia="Consolas" w:hAnsi="Consolas"/>
                <w:b/>
                <w:bCs/>
                <w:color w:val="1B4F8A"/>
                <w:sz w:val="19"/>
                <w:szCs w:val="19"/>
              </w:rPr>
              <w:t xml:space="preserve">GR-021  </w:t>
            </w:r>
            <w:r>
              <w:rPr>
                <w:rFonts w:ascii="Segoe UI" w:cs="Segoe UI" w:eastAsia="Segoe UI" w:hAnsi="Segoe UI"/>
                <w:color w:val="444444"/>
                <w:sz w:val="19"/>
                <w:szCs w:val="19"/>
              </w:rPr>
              <w:t xml:space="preserve">— add a visible “Human Accountability Anchor” marker </w:t>
            </w:r>
            <w:r>
              <w:rPr>
                <w:rFonts w:ascii="Segoe UI" w:cs="Segoe UI" w:eastAsia="Segoe UI" w:hAnsi="Segoe UI"/>
                <w:i/>
                <w:iCs/>
                <w:color w:val="444444"/>
                <w:sz w:val="19"/>
                <w:szCs w:val="19"/>
              </w:rPr>
              <w:t xml:space="preserve">(Partially Addressed — the GDP definition (§3) is the closest existing language, not yet a built UI marker)</w:t>
            </w:r>
          </w:p>
          <w:p>
            <w:pPr>
              <w:pStyle w:val="ListParagraph"/>
              <w:numPr>
                <w:ilvl w:val="0"/>
                <w:numId w:val="1"/>
              </w:numPr>
              <w:spacing w:after="70" w:line="270"/>
            </w:pPr>
            <w:r>
              <w:rPr>
                <w:rFonts w:ascii="Consolas" w:cs="Consolas" w:eastAsia="Consolas" w:hAnsi="Consolas"/>
                <w:b/>
                <w:bCs/>
                <w:color w:val="1B4F8A"/>
                <w:sz w:val="19"/>
                <w:szCs w:val="19"/>
              </w:rPr>
              <w:t xml:space="preserve">GR-024  </w:t>
            </w:r>
            <w:r>
              <w:rPr>
                <w:rFonts w:ascii="Segoe UI" w:cs="Segoe UI" w:eastAsia="Segoe UI" w:hAnsi="Segoe UI"/>
                <w:color w:val="444444"/>
                <w:sz w:val="19"/>
                <w:szCs w:val="19"/>
              </w:rPr>
              <w:t xml:space="preserve">— composite executive-facing per-role view + recommended transition path </w:t>
            </w:r>
            <w:r>
              <w:rPr>
                <w:rFonts w:ascii="Segoe UI" w:cs="Segoe UI" w:eastAsia="Segoe UI" w:hAnsi="Segoe UI"/>
                <w:i/>
                <w:iCs/>
                <w:color w:val="444444"/>
                <w:sz w:val="19"/>
                <w:szCs w:val="19"/>
              </w:rPr>
              <w:t xml:space="preserve">(Open — the Five Rings model (§2) is related conceptual groundwork, not the built view)</w:t>
            </w:r>
          </w:p>
          <w:p>
            <w:pPr>
              <w:pStyle w:val="ListParagraph"/>
              <w:numPr>
                <w:ilvl w:val="0"/>
                <w:numId w:val="1"/>
              </w:numPr>
              <w:spacing w:after="70" w:line="270"/>
            </w:pPr>
            <w:r>
              <w:rPr>
                <w:rFonts w:ascii="Consolas" w:cs="Consolas" w:eastAsia="Consolas" w:hAnsi="Consolas"/>
                <w:b/>
                <w:bCs/>
                <w:color w:val="1B4F8A"/>
                <w:sz w:val="19"/>
                <w:szCs w:val="19"/>
              </w:rPr>
              <w:t xml:space="preserve">GR-030  </w:t>
            </w:r>
            <w:r>
              <w:rPr>
                <w:rFonts w:ascii="Segoe UI" w:cs="Segoe UI" w:eastAsia="Segoe UI" w:hAnsi="Segoe UI"/>
                <w:color w:val="444444"/>
                <w:sz w:val="19"/>
                <w:szCs w:val="19"/>
              </w:rPr>
              <w:t xml:space="preserve">— track Accountability Concentration as H% declines </w:t>
            </w:r>
            <w:r>
              <w:rPr>
                <w:rFonts w:ascii="Segoe UI" w:cs="Segoe UI" w:eastAsia="Segoe UI" w:hAnsi="Segoe UI"/>
                <w:i/>
                <w:iCs/>
                <w:color w:val="444444"/>
                <w:sz w:val="19"/>
                <w:szCs w:val="19"/>
              </w:rPr>
              <w:t xml:space="preserve">(Partially Addressed — conceptual language exists (accountability held fixed by design, §6), not a computed metric)</w:t>
            </w:r>
          </w:p>
        </w:tc>
      </w:tr>
    </w:tbl>
    <w:p>
      <w:pPr>
        <w:spacing w:after="280"/>
      </w:pPr>
    </w:p>
    <w:p>
      <w:pPr>
        <w:spacing w:after="120" w:before="320"/>
      </w:pPr>
      <w:r>
        <w:rPr>
          <w:rFonts w:ascii="Georgia" w:cs="Georgia" w:eastAsia="Georgia" w:hAnsi="Georgia"/>
          <w:b/>
          <w:bCs/>
          <w:color w:val="0D2D4F"/>
          <w:sz w:val="26"/>
          <w:szCs w:val="26"/>
        </w:rPr>
        <w:t xml:space="preserve">1. Why This Layer Exists</w:t>
      </w:r>
    </w:p>
    <w:p>
      <w:pPr>
        <w:spacing w:after="200" w:line="300"/>
      </w:pPr>
      <w:r>
        <w:rPr>
          <w:rFonts w:ascii="Segoe UI" w:cs="Segoe UI" w:eastAsia="Segoe UI" w:hAnsi="Segoe UI"/>
          <w:color w:val="444444"/>
          <w:sz w:val="22"/>
          <w:szCs w:val="22"/>
        </w:rPr>
        <w:t xml:space="preserve">The Working Collaboration &amp; Co-Development Principles document’s Shared Vision paragraph names the real question underneath this whole partnership: when AI, or any other force, materially changes the work, what happens to the role, the person performing it, the manager leading it, the team around it, and the accountability for what follows?</w:t>
      </w:r>
    </w:p>
    <w:p>
      <w:pPr>
        <w:pBdr>
          <w:left w:val="single" w:color="1B4F8A" w:sz="18" w:space="12"/>
        </w:pBdr>
        <w:spacing w:after="200" w:before="120" w:line="300"/>
        <w:ind w:left="300"/>
      </w:pPr>
      <w:r>
        <w:rPr>
          <w:rFonts w:ascii="Segoe UI" w:cs="Segoe UI" w:eastAsia="Segoe UI" w:hAnsi="Segoe UI"/>
          <w:i/>
          <w:iCs/>
          <w:color w:val="0D2D4F"/>
          <w:sz w:val="21"/>
          <w:szCs w:val="21"/>
        </w:rPr>
        <w:t xml:space="preserve">“Our working vision is to create an integrated architecture for Human + AI Work — one that connects the architecture of work with the human consequences of changing that work.”</w:t>
      </w:r>
    </w:p>
    <w:p>
      <w:pPr>
        <w:spacing w:after="200" w:line="300"/>
      </w:pPr>
      <w:r>
        <w:rPr>
          <w:rFonts w:ascii="Segoe UI" w:cs="Segoe UI" w:eastAsia="Segoe UI" w:hAnsi="Segoe UI"/>
          <w:color w:val="444444"/>
          <w:sz w:val="22"/>
          <w:szCs w:val="22"/>
        </w:rPr>
        <w:t xml:space="preserve">That question has a shape worth naming directly: it widens outward, ring by ring, from the point of impact. That’s the shock wave — and once you see the org that way, two things follow. First, a single role’s transformation propagates through five distinct rings, not one. Second, when several parts of the organization transform at once, those individual waves don’t stay separate.</w:t>
      </w:r>
    </w:p>
    <w:p>
      <w:pPr>
        <w:spacing w:after="120" w:before="320"/>
      </w:pPr>
      <w:r>
        <w:rPr>
          <w:rFonts w:ascii="Georgia" w:cs="Georgia" w:eastAsia="Georgia" w:hAnsi="Georgia"/>
          <w:b/>
          <w:bCs/>
          <w:color w:val="0D2D4F"/>
          <w:sz w:val="26"/>
          <w:szCs w:val="26"/>
        </w:rPr>
        <w:t xml:space="preserve">2. Core Model — The Blast Radius of a Single Role</w:t>
      </w:r>
    </w:p>
    <w:p>
      <w:pPr>
        <w:spacing w:after="200" w:line="300"/>
      </w:pPr>
      <w:r>
        <w:rPr>
          <w:rFonts w:ascii="Segoe UI" w:cs="Segoe UI" w:eastAsia="Segoe UI" w:hAnsi="Segoe UI"/>
          <w:color w:val="444444"/>
          <w:sz w:val="22"/>
          <w:szCs w:val="22"/>
        </w:rPr>
        <w:t xml:space="preserve">A single role’s transformation propagates outward through five distinct rings, each answering a different question about what changed:</w:t>
      </w:r>
    </w:p>
    <w:tbl>
      <w:tblPr>
        <w:tblW w:type="dxa" w:w="10080"/>
        <w:tblBorders>
          <w:top w:val="single" w:color="DDE3EE" w:sz="4"/>
          <w:left w:val="single" w:color="DDE3EE" w:sz="4"/>
          <w:bottom w:val="single" w:color="DDE3EE" w:sz="4"/>
          <w:right w:val="single" w:color="DDE3EE" w:sz="4"/>
          <w:insideH w:val="single" w:color="DDE3EE" w:sz="4"/>
          <w:insideV w:val="single" w:color="DDE3EE" w:sz="4"/>
        </w:tblBorders>
      </w:tblPr>
      <w:tblGrid>
        <w:gridCol w:w="1714"/>
        <w:gridCol w:w="5544"/>
        <w:gridCol w:w="2822"/>
      </w:tblGrid>
      <w:tr>
        <w:trPr>
          <w:tblHeader/>
        </w:trPr>
        <w:tc>
          <w:tcPr>
            <w:tcW w:type="dxa" w:w="1714"/>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Ring</w:t>
            </w:r>
          </w:p>
        </w:tc>
        <w:tc>
          <w:tcPr>
            <w:tcW w:type="dxa" w:w="5544"/>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What Changes</w:t>
            </w:r>
          </w:p>
        </w:tc>
        <w:tc>
          <w:tcPr>
            <w:tcW w:type="dxa" w:w="2822"/>
            <w:shd w:fill="1B4F8A" w:val="clear"/>
            <w:tcMar>
              <w:top w:type="dxa" w:w="100"/>
              <w:left w:type="dxa" w:w="120"/>
              <w:bottom w:type="dxa" w:w="90"/>
              <w:right w:type="dxa" w:w="120"/>
            </w:tcMar>
          </w:tcPr>
          <w:p>
            <w:r>
              <w:rPr>
                <w:rFonts w:ascii="Segoe UI" w:cs="Segoe UI" w:eastAsia="Segoe UI" w:hAnsi="Segoe UI"/>
                <w:b/>
                <w:bCs/>
                <w:caps/>
                <w:color w:val="FFFFFF"/>
                <w:sz w:val="16"/>
                <w:szCs w:val="16"/>
              </w:rPr>
              <w:t xml:space="preserve">Measured Today?</w:t>
            </w:r>
          </w:p>
        </w:tc>
      </w:tr>
      <w:tr>
        <w:tc>
          <w:tcPr>
            <w:tcW w:type="dxa" w:w="1714"/>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Role</w:t>
            </w:r>
          </w:p>
        </w:tc>
        <w:tc>
          <w:tcPr>
            <w:tcW w:type="dxa" w:w="5544"/>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work itself — which activities shift, how much, on which pattern (Decision, Knowledge, Document, Transaction, Exception)</w:t>
            </w:r>
          </w:p>
        </w:tc>
        <w:tc>
          <w:tcPr>
            <w:tcW w:type="dxa" w:w="282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Yes — Maturity Table, M1→M5 pattern mix</w:t>
            </w:r>
          </w:p>
        </w:tc>
      </w:tr>
      <w:tr>
        <w:tc>
          <w:tcPr>
            <w:tcW w:type="dxa" w:w="1714"/>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Person</w:t>
            </w:r>
          </w:p>
        </w:tc>
        <w:tc>
          <w:tcPr>
            <w:tcW w:type="dxa" w:w="5544"/>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What the shift actually means for the person doing the work</w:t>
            </w:r>
          </w:p>
        </w:tc>
        <w:tc>
          <w:tcPr>
            <w:tcW w:type="dxa" w:w="282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Yes — Pattern Transition Narratives (this is where the work-transition side hands off to the human-transition side)</w:t>
            </w:r>
          </w:p>
        </w:tc>
      </w:tr>
      <w:tr>
        <w:tc>
          <w:tcPr>
            <w:tcW w:type="dxa" w:w="1714"/>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Manager</w:t>
            </w:r>
          </w:p>
        </w:tc>
        <w:tc>
          <w:tcPr>
            <w:tcW w:type="dxa" w:w="5544"/>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manager who has to lead someone through the change, redistribute what’s left, and absorb the disruption to their own span of control</w:t>
            </w:r>
          </w:p>
        </w:tc>
        <w:tc>
          <w:tcPr>
            <w:tcW w:type="dxa" w:w="282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Partial — reportsTo and span of control exist; the force of the impact does not</w:t>
            </w:r>
          </w:p>
        </w:tc>
      </w:tr>
      <w:tr>
        <w:tc>
          <w:tcPr>
            <w:tcW w:type="dxa" w:w="1714"/>
            <w:shd w:fill="FAFBFD"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Team</w:t>
            </w:r>
          </w:p>
        </w:tc>
        <w:tc>
          <w:tcPr>
            <w:tcW w:type="dxa" w:w="5544"/>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The team around the role, absorbing whatever gets redistributed once the role itself changes</w:t>
            </w:r>
          </w:p>
        </w:tc>
        <w:tc>
          <w:tcPr>
            <w:tcW w:type="dxa" w:w="2822"/>
            <w:shd w:fill="FAFBFD"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No — not yet built</w:t>
            </w:r>
          </w:p>
        </w:tc>
      </w:tr>
      <w:tr>
        <w:tc>
          <w:tcPr>
            <w:tcW w:type="dxa" w:w="1714"/>
            <w:shd w:fill="FFFFFF" w:val="clear"/>
            <w:tcMar>
              <w:top w:type="dxa" w:w="90"/>
              <w:left w:type="dxa" w:w="120"/>
              <w:bottom w:type="dxa" w:w="90"/>
              <w:right w:type="dxa" w:w="120"/>
            </w:tcMar>
          </w:tcPr>
          <w:p>
            <w:pPr>
              <w:spacing w:line="260"/>
            </w:pPr>
            <w:r>
              <w:rPr>
                <w:rFonts w:ascii="Segoe UI" w:cs="Segoe UI" w:eastAsia="Segoe UI" w:hAnsi="Segoe UI"/>
                <w:b/>
                <w:bCs/>
                <w:color w:val="1B4F8A"/>
                <w:sz w:val="18"/>
                <w:szCs w:val="18"/>
              </w:rPr>
              <w:t xml:space="preserve">Accountability</w:t>
            </w:r>
          </w:p>
        </w:tc>
        <w:tc>
          <w:tcPr>
            <w:tcW w:type="dxa" w:w="5544"/>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Who remains answerable for the decision or outcome, no matter how the underlying work changes</w:t>
            </w:r>
          </w:p>
        </w:tc>
        <w:tc>
          <w:tcPr>
            <w:tcW w:type="dxa" w:w="2822"/>
            <w:shd w:fill="FFFFFF" w:val="clear"/>
            <w:tcMar>
              <w:top w:type="dxa" w:w="90"/>
              <w:left w:type="dxa" w:w="120"/>
              <w:bottom w:type="dxa" w:w="90"/>
              <w:right w:type="dxa" w:w="120"/>
            </w:tcMar>
          </w:tcPr>
          <w:p>
            <w:pPr>
              <w:spacing w:line="260"/>
            </w:pPr>
            <w:r>
              <w:rPr>
                <w:rFonts w:ascii="Segoe UI" w:cs="Segoe UI" w:eastAsia="Segoe UI" w:hAnsi="Segoe UI"/>
                <w:b w:val="false"/>
                <w:bCs w:val="false"/>
                <w:color w:val="222222"/>
                <w:sz w:val="18"/>
                <w:szCs w:val="18"/>
              </w:rPr>
              <w:t xml:space="preserve">Yes — RACI Accountable, Governed Decision Points. Held fixed by design, not expected to move</w:t>
            </w:r>
          </w:p>
        </w:tc>
      </w:tr>
    </w:tbl>
    <w:p>
      <w:pPr>
        <w:spacing w:after="160"/>
      </w:pPr>
    </w:p>
    <w:p>
      <w:pPr>
        <w:spacing w:after="120" w:before="320"/>
      </w:pPr>
      <w:r>
        <w:rPr>
          <w:rFonts w:ascii="Georgia" w:cs="Georgia" w:eastAsia="Georgia" w:hAnsi="Georgia"/>
          <w:b/>
          <w:bCs/>
          <w:color w:val="0D2D4F"/>
          <w:sz w:val="26"/>
          <w:szCs w:val="26"/>
        </w:rPr>
        <w:t xml:space="preserve">3. Data Model — The Governed Decision Point</w:t>
      </w:r>
    </w:p>
    <w:p>
      <w:pPr>
        <w:spacing w:after="200" w:line="300"/>
      </w:pPr>
      <w:r>
        <w:rPr>
          <w:rFonts w:ascii="Segoe UI" w:cs="Segoe UI" w:eastAsia="Segoe UI" w:hAnsi="Segoe UI"/>
          <w:color w:val="444444"/>
          <w:sz w:val="22"/>
          <w:szCs w:val="22"/>
        </w:rPr>
        <w:t xml:space="preserve">The one concrete data construct this concept currently defines: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3FA" w:sz="4"/>
              <w:left w:val="single" w:color="1B4F8A" w:sz="24"/>
              <w:bottom w:val="single" w:color="EEF3FA" w:sz="4"/>
              <w:right w:val="single" w:color="EEF3FA" w:sz="4"/>
            </w:tcBorders>
            <w:shd w:fill="EEF3FA" w:val="clear"/>
            <w:tcMar>
              <w:top w:type="dxa" w:w="160"/>
              <w:left w:type="dxa" w:w="220"/>
              <w:bottom w:type="dxa" w:w="160"/>
              <w:right w:type="dxa" w:w="220"/>
            </w:tcMar>
          </w:tcPr>
          <w:p>
            <w:pPr>
              <w:spacing w:after="0" w:line="300"/>
            </w:pPr>
            <w:r>
              <w:rPr>
                <w:rFonts w:ascii="Segoe UI" w:cs="Segoe UI" w:eastAsia="Segoe UI" w:hAnsi="Segoe UI"/>
                <w:b/>
                <w:bCs/>
                <w:color w:val="1B4F8A"/>
                <w:sz w:val="19"/>
                <w:szCs w:val="19"/>
              </w:rPr>
              <w:t xml:space="preserve">Governed Decision Point (GDP):  </w:t>
            </w:r>
            <w:r>
              <w:rPr>
                <w:rFonts w:ascii="Segoe UI" w:cs="Segoe UI" w:eastAsia="Segoe UI" w:hAnsi="Segoe UI"/>
                <w:color w:val="222222"/>
                <w:sz w:val="19"/>
                <w:szCs w:val="19"/>
              </w:rPr>
              <w:t xml:space="preserve">a specific activity where a role holds real decision-making authority, recorded with three things — who decides normally, who it escalates to, and the trigger condition that moves a decision up past them. It’s the mechanism behind “accountability is held fixed” — proof that the accountable person for the real judgment call hasn’t changed, even as the surrounding work does.</w:t>
            </w:r>
          </w:p>
        </w:tc>
      </w:tr>
    </w:tbl>
    <w:p>
      <w:pPr>
        <w:spacing w:after="160"/>
      </w:pPr>
    </w:p>
    <w:p>
      <w:pPr>
        <w:spacing w:after="120" w:before="320"/>
      </w:pPr>
      <w:r>
        <w:rPr>
          <w:rFonts w:ascii="Georgia" w:cs="Georgia" w:eastAsia="Georgia" w:hAnsi="Georgia"/>
          <w:b/>
          <w:bCs/>
          <w:color w:val="0D2D4F"/>
          <w:sz w:val="26"/>
          <w:szCs w:val="26"/>
        </w:rPr>
        <w:t xml:space="preserve">4. Granularity</w:t>
      </w:r>
    </w:p>
    <w:p>
      <w:pPr>
        <w:spacing w:after="200" w:line="300"/>
      </w:pPr>
      <w:r>
        <w:rPr>
          <w:rFonts w:ascii="Segoe UI" w:cs="Segoe UI" w:eastAsia="Segoe UI" w:hAnsi="Segoe UI"/>
          <w:color w:val="444444"/>
          <w:sz w:val="22"/>
          <w:szCs w:val="22"/>
        </w:rPr>
        <w:t xml:space="preserve">Not yet defined. This concept has been written from PCF 7.0 (HR) outward, at the role/domain level — not tied to L4 activities the way the Working-Relationship Progression Methodology’s Current State / Future State / Progression Ceiling values are. Whether it stays a narrative frame at that level, or needs to operate at a finer grain (per-L4, to line up with WRPM’s own granularity) or a coarser one (per-domain-pair, for the interference case in §7) is genuinely undecided — see §9.</w:t>
      </w:r>
    </w:p>
    <w:p>
      <w:pPr>
        <w:spacing w:after="120" w:before="320"/>
      </w:pPr>
      <w:r>
        <w:rPr>
          <w:rFonts w:ascii="Georgia" w:cs="Georgia" w:eastAsia="Georgia" w:hAnsi="Georgia"/>
          <w:b/>
          <w:bCs/>
          <w:color w:val="0D2D4F"/>
          <w:sz w:val="26"/>
          <w:szCs w:val="26"/>
        </w:rPr>
        <w:t xml:space="preserve">5. Gate/Decision Logic — Containment Through Sequencing</w:t>
      </w:r>
    </w:p>
    <w:p>
      <w:pPr>
        <w:spacing w:after="200" w:line="300"/>
      </w:pPr>
      <w:r>
        <w:rPr>
          <w:rFonts w:ascii="Segoe UI" w:cs="Segoe UI" w:eastAsia="Segoe UI" w:hAnsi="Segoe UI"/>
          <w:color w:val="444444"/>
          <w:sz w:val="22"/>
          <w:szCs w:val="22"/>
        </w:rPr>
        <w:t xml:space="preserve">This isn’t a hypothetical the framework has no response to. Governed Decision Points holding accountability fixed at every stage, and a phased, one-domain-at-a-time rollout rather than a simultaneous org-wide push, are together a containment strategy against exactly this failure mode — even though nothing built so far has been described in those terms. Sequencing keeps the shock waves from overlapping in the first place; governance keeps accountability from being one of the things that erodes if they do.</w:t>
      </w:r>
    </w:p>
    <w:p>
      <w:pPr>
        <w:spacing w:after="120" w:before="320"/>
      </w:pPr>
      <w:r>
        <w:rPr>
          <w:rFonts w:ascii="Georgia" w:cs="Georgia" w:eastAsia="Georgia" w:hAnsi="Georgia"/>
          <w:b/>
          <w:bCs/>
          <w:color w:val="0D2D4F"/>
          <w:sz w:val="26"/>
          <w:szCs w:val="26"/>
        </w:rPr>
        <w:t xml:space="preserve">6. Evidence/Instrumentation Per Ring</w:t>
      </w:r>
    </w:p>
    <w:p>
      <w:pPr>
        <w:spacing w:after="200" w:line="300"/>
      </w:pPr>
      <w:r>
        <w:rPr>
          <w:rFonts w:ascii="Segoe UI" w:cs="Segoe UI" w:eastAsia="Segoe UI" w:hAnsi="Segoe UI"/>
          <w:color w:val="444444"/>
          <w:sz w:val="22"/>
          <w:szCs w:val="22"/>
        </w:rPr>
        <w:t xml:space="preserve">The pattern worth noticing: the two rings the framework already measures well — Role and Accountability — sit at the two ends of the wave, not in the middle. Accountability is deliberately built to hold its shape regardless of how hard the wave hits everything around it; that’s the framework’s own founding thesis (“AI can redistribute work. It cannot redistribute accountability.”) restated in blast-radius terms. The middle three rings — Person, Manager, Team — are where the actual human cost of the wave is absorbed, and it’s exactly those rings where the framework is thinnest today.</w:t>
      </w:r>
    </w:p>
    <w:p>
      <w:pPr>
        <w:spacing w:after="120" w:before="320"/>
      </w:pPr>
      <w:r>
        <w:rPr>
          <w:rFonts w:ascii="Georgia" w:cs="Georgia" w:eastAsia="Georgia" w:hAnsi="Georgia"/>
          <w:b/>
          <w:bCs/>
          <w:color w:val="0D2D4F"/>
          <w:sz w:val="26"/>
          <w:szCs w:val="26"/>
        </w:rPr>
        <w:t xml:space="preserve">7. Downstream/Propagation Effects — When Multiple Domains Detonate at Once</w:t>
      </w:r>
    </w:p>
    <w:p>
      <w:pPr>
        <w:spacing w:after="200" w:line="300"/>
      </w:pPr>
      <w:r>
        <w:rPr>
          <w:rFonts w:ascii="Segoe UI" w:cs="Segoe UI" w:eastAsia="Segoe UI" w:hAnsi="Segoe UI"/>
          <w:color w:val="444444"/>
          <w:sz w:val="22"/>
          <w:szCs w:val="22"/>
        </w:rPr>
        <w:t xml:space="preserve">A single role’s transformation is a contained event — hard at the center, weaker with distance, absorbable. The real risk sharpens when AI transformation hits several functional domains at the same time, uncoordinated, without any sequencing between them.</w:t>
      </w:r>
    </w:p>
    <w:p>
      <w:pPr>
        <w:spacing w:after="200" w:line="300"/>
      </w:pPr>
      <w:r>
        <w:rPr>
          <w:rFonts w:ascii="Segoe UI" w:cs="Segoe UI" w:eastAsia="Segoe UI" w:hAnsi="Segoe UI"/>
          <w:color w:val="444444"/>
          <w:sz w:val="22"/>
          <w:szCs w:val="22"/>
        </w:rPr>
        <w:t xml:space="preserve">Overlapping shock waves don’t simply add together — where two waves cross, they interfere, and the combined force at that intersection can exceed either wave alone. The organizational parallel is precise: a manager, a shared-services team, or a role sitting at the intersection of two or three functions transforming simultaneously doesn’t experience double the disruption. They experience the interference pattern — no recovery time between hits, no slack nearby to borrow from, and the people and trust at exactly those overlap points failing first, before the damage is even visible anywhere else.</w:t>
      </w:r>
    </w:p>
    <w:p>
      <w:pPr>
        <w:spacing w:after="200" w:line="300"/>
      </w:pPr>
      <w:r>
        <w:rPr>
          <w:rFonts w:ascii="Segoe UI" w:cs="Segoe UI" w:eastAsia="Segoe UI" w:hAnsi="Segoe UI"/>
          <w:i/>
          <w:iCs/>
          <w:color w:val="444444"/>
          <w:sz w:val="22"/>
          <w:szCs w:val="22"/>
        </w:rPr>
        <w:t xml:space="preserve">“Total nuclear destruction”</w:t>
      </w:r>
      <w:r>
        <w:rPr>
          <w:rFonts w:ascii="Segoe UI" w:cs="Segoe UI" w:eastAsia="Segoe UI" w:hAnsi="Segoe UI"/>
          <w:color w:val="444444"/>
          <w:sz w:val="22"/>
          <w:szCs w:val="22"/>
        </w:rPr>
        <w:t xml:space="preserve"> is the right image for how it feels from inside an uncoordinated, multi-domain change effort — but the more precise and more defensible failure mode is cascading failure, the same vocabulary systems engineering and financial-contagion analysis use for interconnected systems. An isolated failure is absorbable. A failure that hits multiple interconnected nodes at once, with nothing containing it, cascades: trust erodes organization-wide rather than locally, decision-making seizes up because accountability itself is overwhelmed, and the damage compounds faster than the organization can respond to any single piece of it. That’s a real and severe failure mode — and, importantly, a survivable and preventable one, which “total destruction” as a literal claim is not.</w:t>
      </w:r>
    </w:p>
    <w:p>
      <w:pPr>
        <w:spacing w:after="120" w:before="320"/>
      </w:pPr>
      <w:r>
        <w:rPr>
          <w:rFonts w:ascii="Georgia" w:cs="Georgia" w:eastAsia="Georgia" w:hAnsi="Georgia"/>
          <w:b/>
          <w:bCs/>
          <w:color w:val="0D2D4F"/>
          <w:sz w:val="26"/>
          <w:szCs w:val="26"/>
        </w:rPr>
        <w:t xml:space="preserve">8. Pilots/Validation</w:t>
      </w:r>
    </w:p>
    <w:p>
      <w:pPr>
        <w:spacing w:after="200" w:line="300"/>
      </w:pPr>
      <w:r>
        <w:rPr>
          <w:rFonts w:ascii="Segoe UI" w:cs="Segoe UI" w:eastAsia="Segoe UI" w:hAnsi="Segoe UI"/>
          <w:color w:val="444444"/>
          <w:sz w:val="22"/>
          <w:szCs w:val="22"/>
        </w:rPr>
        <w:t xml:space="preserve">Not yet piloted. Unlike the Working-Relationship Progression Methodology, which has been walked by hand against three real pilot roles (HRBP Manager, Recruiter, CHRO) with real APQC activity data, this concept hasn’t been run against a specific real transformation case — a specific role, a specific pair of simultaneously-transforming domains — to see whether the five-ring model and the interference idea actually hold up against real data. That’s the natural next step before this graduates past Concept stage on the Section 5 development ladder.</w:t>
      </w:r>
    </w:p>
    <w:p>
      <w:pPr>
        <w:spacing w:after="200" w:line="300"/>
      </w:pPr>
      <w:r>
        <w:rPr>
          <w:rFonts w:ascii="Segoe UI" w:cs="Segoe UI" w:eastAsia="Segoe UI" w:hAnsi="Segoe UI"/>
          <w:color w:val="444444"/>
          <w:sz w:val="22"/>
          <w:szCs w:val="22"/>
        </w:rPr>
        <w:t xml:space="preserve">From Concept to Principle (the framework’s own approval-lifecycle proposal) does use this document as its own worked example — but that pilots the approval process, not the shock-wave model’s content.</w:t>
      </w:r>
    </w:p>
    <w:p>
      <w:pPr>
        <w:spacing w:after="120" w:before="320"/>
      </w:pPr>
      <w:r>
        <w:rPr>
          <w:rFonts w:ascii="Georgia" w:cs="Georgia" w:eastAsia="Georgia" w:hAnsi="Georgia"/>
          <w:b/>
          <w:bCs/>
          <w:color w:val="0D2D4F"/>
          <w:sz w:val="26"/>
          <w:szCs w:val="26"/>
        </w:rPr>
        <w:t xml:space="preserve">9. Known Open Constructs — Named, Not Yet Built</w:t>
      </w:r>
    </w:p>
    <w:p>
      <w:pPr>
        <w:spacing w:after="200" w:line="300"/>
      </w:pPr>
      <w:r>
        <w:rPr>
          <w:rFonts w:ascii="Segoe UI" w:cs="Segoe UI" w:eastAsia="Segoe UI" w:hAnsi="Segoe UI"/>
          <w:b/>
          <w:bCs/>
          <w:color w:val="0D2D4F"/>
          <w:sz w:val="22"/>
          <w:szCs w:val="22"/>
        </w:rPr>
        <w:t xml:space="preserve">Manager and Team as measured rings.  </w:t>
      </w:r>
      <w:r>
        <w:rPr>
          <w:rFonts w:ascii="Segoe UI" w:cs="Segoe UI" w:eastAsia="Segoe UI" w:hAnsi="Segoe UI"/>
          <w:color w:val="444444"/>
          <w:sz w:val="22"/>
          <w:szCs w:val="22"/>
        </w:rPr>
        <w:t xml:space="preserve">Both rings currently have structural data (reportsTo, span of control) but no measure of force or load — this is the same open ground as the framework’s existing Trust and load/sustainability gaps, just named from a different direction.</w:t>
      </w:r>
    </w:p>
    <w:p>
      <w:pPr>
        <w:spacing w:after="200" w:line="300"/>
      </w:pPr>
      <w:r>
        <w:rPr>
          <w:rFonts w:ascii="Segoe UI" w:cs="Segoe UI" w:eastAsia="Segoe UI" w:hAnsi="Segoe UI"/>
          <w:b/>
          <w:bCs/>
          <w:color w:val="0D2D4F"/>
          <w:sz w:val="22"/>
          <w:szCs w:val="22"/>
        </w:rPr>
        <w:t xml:space="preserve">Whether interference is measurable, not just descriptive.  </w:t>
      </w:r>
      <w:r>
        <w:rPr>
          <w:rFonts w:ascii="Segoe UI" w:cs="Segoe UI" w:eastAsia="Segoe UI" w:hAnsi="Segoe UI"/>
          <w:color w:val="444444"/>
          <w:sz w:val="22"/>
          <w:szCs w:val="22"/>
        </w:rPr>
        <w:t xml:space="preserve">Could the framework ever flag a real overlap — a manager or team sitting at the intersection of two simultaneously-transforming domains — before it happens, rather than only naming the concept after the fact?</w:t>
      </w:r>
    </w:p>
    <w:p>
      <w:pPr>
        <w:spacing w:after="200" w:line="300"/>
      </w:pPr>
      <w:r>
        <w:rPr>
          <w:rFonts w:ascii="Segoe UI" w:cs="Segoe UI" w:eastAsia="Segoe UI" w:hAnsi="Segoe UI"/>
          <w:color w:val="444444"/>
          <w:sz w:val="22"/>
          <w:szCs w:val="22"/>
        </w:rPr>
        <w:t xml:space="preserve">A third open question — scope — is addressed in §4 Granularity above rather than repeated here.</w:t>
      </w:r>
    </w:p>
    <w:p>
      <w:pPr>
        <w:spacing w:after="120" w:before="320"/>
      </w:pPr>
      <w:r>
        <w:rPr>
          <w:rFonts w:ascii="Georgia" w:cs="Georgia" w:eastAsia="Georgia" w:hAnsi="Georgia"/>
          <w:b/>
          <w:bCs/>
          <w:color w:val="0D2D4F"/>
          <w:sz w:val="26"/>
          <w:szCs w:val="26"/>
        </w:rPr>
        <w:t xml:space="preserve">10. Sourcing, Validation, and What This Document Deliberately Leaves Out</w:t>
      </w:r>
    </w:p>
    <w:p>
      <w:pPr>
        <w:spacing w:after="200" w:line="300"/>
      </w:pPr>
      <w:r>
        <w:rPr>
          <w:rFonts w:ascii="Segoe UI" w:cs="Segoe UI" w:eastAsia="Segoe UI" w:hAnsi="Segoe UI"/>
          <w:color w:val="444444"/>
          <w:sz w:val="22"/>
          <w:szCs w:val="22"/>
        </w:rPr>
        <w:t xml:space="preserve">The concept’s source is the Working Collaboration &amp; Co-Development Principles document’s own Shared Vision paragraph (§1). The cascading-failure vocabulary in §7 is deliberately borrowed from systems engineering and financial-contagion analysis, not invented for this document — chosen because it’s the more precise, more defensible framing than the literal “total nuclear destruction” image, which is useful only for making the stakes vivid, not as an analytical claim.</w:t>
      </w:r>
    </w:p>
    <w:p>
      <w:pPr>
        <w:spacing w:after="200" w:line="300"/>
      </w:pPr>
      <w:r>
        <w:rPr>
          <w:rFonts w:ascii="Segoe UI" w:cs="Segoe UI" w:eastAsia="Segoe UI" w:hAnsi="Segoe UI"/>
          <w:color w:val="444444"/>
          <w:sz w:val="22"/>
          <w:szCs w:val="22"/>
        </w:rPr>
        <w:t xml:space="preserve">Deliberately left out: any claim that ring-overlap interference is currently measurable (it’s descriptive only — §9); any per-activity or per-L4 data (granularity is undecided — §4); and any pilot validation of the model itself (none has been run — §8).</w:t>
      </w:r>
    </w:p>
    <w:p>
      <w:pPr>
        <w:spacing w:after="200" w:line="300"/>
      </w:pPr>
      <w:r>
        <w:rPr>
          <w:rFonts w:ascii="Segoe UI" w:cs="Segoe UI" w:eastAsia="Segoe UI" w:hAnsi="Segoe UI"/>
          <w:color w:val="444444"/>
          <w:sz w:val="22"/>
          <w:szCs w:val="22"/>
        </w:rPr>
        <w:t xml:space="preserve">This document was reorganized into the framework’s Design Spec Template on Sept 15, 2026, to match the two-tier content-shape system formalized that day — the underlying ideas are unchanged from the version GiGi has not yet reviewed; only the shape changed.</w:t>
      </w:r>
    </w:p>
    <w:p>
      <w:pPr>
        <w:pBdr>
          <w:top w:val="single" w:color="DDE3EE" w:sz="4" w:space="12"/>
        </w:pBdr>
        <w:spacing w:before="300"/>
      </w:pPr>
      <w:r>
        <w:rPr>
          <w:rFonts w:ascii="Segoe UI" w:cs="Segoe UI" w:eastAsia="Segoe UI" w:hAnsi="Segoe UI"/>
          <w:color w:val="888888"/>
          <w:sz w:val="17"/>
          <w:szCs w:val="17"/>
        </w:rPr>
        <w:t xml:space="preserve">For joint review — Tim King and GiGi Garcia</w:t>
      </w:r>
    </w:p>
    <w:p>
      <w:r>
        <w:rPr>
          <w:rFonts w:ascii="Segoe UI" w:cs="Segoe UI" w:eastAsia="Segoe UI" w:hAnsi="Segoe UI"/>
          <w:color w:val="888888"/>
          <w:sz w:val="17"/>
          <w:szCs w:val="17"/>
        </w:rPr>
        <w:t xml:space="preserve">HITL-Driven Architecture · developed with the assistance of Claude (Anthropic)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2026-09-15T19:28:56.699Z</dcterms:created>
  <dcterms:modified xsi:type="dcterms:W3CDTF">2026-09-15T19:28:56.700Z</dcterms:modified>
</cp:coreProperties>
</file>

<file path=docProps/custom.xml><?xml version="1.0" encoding="utf-8"?>
<Properties xmlns="http://schemas.openxmlformats.org/officeDocument/2006/custom-properties" xmlns:vt="http://schemas.openxmlformats.org/officeDocument/2006/docPropsVTypes"/>
</file>