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6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PCF 9.0 — Manage Financial Resources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HITL Maturity Assessment — All Processes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7"/>
        <w:gridCol w:w="4546"/>
        <w:gridCol w:w="4547"/>
      </w:tblGrid>
      <w:tr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47</w:t>
            </w:r>
          </w:p>
        </w:tc>
        <w:tc>
          <w:tcPr>
            <w:tcW w:type="pct" w:w="33.33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190</w:t>
            </w:r>
          </w:p>
        </w:tc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72%</w:t>
            </w:r>
          </w:p>
        </w:tc>
      </w:tr>
      <w:tr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48%</w:t>
            </w:r>
          </w:p>
        </w:tc>
        <w:tc>
          <w:tcPr>
            <w:tcW w:type="pct" w:w="33.33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M5 LEADING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26%</w:t>
            </w:r>
          </w:p>
        </w:tc>
        <w:tc>
          <w:tcPr>
            <w:tcW w:type="pct" w:w="33.3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3"/>
                <w:szCs w:val="13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-24%</w:t>
            </w:r>
          </w:p>
        </w:tc>
      </w:tr>
    </w:tbl>
    <w:p>
      <w:pPr>
        <w:spacing w:after="160" w:before="200"/>
      </w:pPr>
      <w:r>
        <w:rPr>
          <w:color w:val="444444"/>
          <w:sz w:val="18"/>
          <w:szCs w:val="18"/>
        </w:rPr>
        <w:t xml:space="preserve">This document reports HITL (Human-in-the-Loop) maturity ratios for all of PCF 9.0 (Manage Financial Resources) — 11 process groups, 47 Level 3 processes, and 190 Level 4 activities in total — at five maturity levels from M1 (Undesigned) through M5 (Leading), with M3 marking HITL Design Intent.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this domain's aggregate human-involvement ratio is </w:t>
      </w:r>
      <w:r>
        <w:rPr>
          <w:b/>
          <w:bCs/>
          <w:color w:val="444444"/>
          <w:sz w:val="18"/>
          <w:szCs w:val="18"/>
        </w:rPr>
        <w:t xml:space="preserve">48%</w:t>
      </w:r>
      <w:r>
        <w:rPr>
          <w:color w:val="444444"/>
          <w:sz w:val="18"/>
          <w:szCs w:val="18"/>
        </w:rPr>
        <w:t xml:space="preserve">, down from a </w:t>
      </w:r>
      <w:r>
        <w:rPr>
          <w:b/>
          <w:bCs/>
          <w:color w:val="444444"/>
          <w:sz w:val="18"/>
          <w:szCs w:val="18"/>
        </w:rPr>
        <w:t xml:space="preserve">72%</w:t>
      </w:r>
      <w:r>
        <w:rPr>
          <w:color w:val="444444"/>
          <w:sz w:val="18"/>
          <w:szCs w:val="18"/>
        </w:rPr>
        <w:t xml:space="preserve"> undesigned (M1) baseline — a -24-point AI convergence opportunity. Mixed-pattern L3 rows reflect an equal-weighted rollup of their real L4 children rather than a force-classified single pattern.</w:t>
      </w:r>
    </w:p>
    <w:p>
      <w:pPr>
        <w:spacing w:after="40" w:before="100"/>
      </w:pPr>
      <w:r>
        <w:rPr>
          <w:b/>
          <w:bCs/>
          <w:color w:val="0D2D4F"/>
          <w:sz w:val="19"/>
          <w:szCs w:val="19"/>
        </w:rPr>
        <w:t xml:space="preserve">HITL Maturity Assessment</w:t>
      </w:r>
    </w:p>
    <w:p>
      <w:pPr>
        <w:spacing w:after="160"/>
      </w:pPr>
      <w:r>
        <w:rPr>
          <w:color w:val="888888"/>
          <w:sz w:val="14"/>
          <w:szCs w:val="14"/>
        </w:rPr>
        <w:t xml:space="preserve">H% = Human involvement at each maturity level · M3 = HITL Design Intent · Full L1→L2→L3→L4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1400"/>
        <w:gridCol w:w="1250"/>
        <w:gridCol w:w="1250"/>
        <w:gridCol w:w="1250"/>
        <w:gridCol w:w="1250"/>
        <w:gridCol w:w="1250"/>
        <w:gridCol w:w="1090"/>
      </w:tblGrid>
      <w:tr>
        <w:trPr>
          <w:tblHeader/>
        </w:trPr>
        <w:tc>
          <w:tcPr>
            <w:tcW w:type="pct" w:w="8.0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27.8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L1-Domain / L2-Process Group / L3-Process / L4-Activity</w:t>
            </w:r>
          </w:p>
        </w:tc>
        <w:tc>
          <w:tcPr>
            <w:tcW w:type="pct" w:w="10.2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M3 ★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Pattern</w:t>
            </w:r>
          </w:p>
        </w:tc>
        <w:tc>
          <w:tcPr>
            <w:tcW w:type="pct" w:w="9.1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M1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Undesigned</w:t>
            </w:r>
          </w:p>
        </w:tc>
        <w:tc>
          <w:tcPr>
            <w:tcW w:type="pct" w:w="9.1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M2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Emerging</w:t>
            </w:r>
          </w:p>
        </w:tc>
        <w:tc>
          <w:tcPr>
            <w:tcW w:type="pct" w:w="9.1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M3 ★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Design Intent</w:t>
            </w:r>
          </w:p>
        </w:tc>
        <w:tc>
          <w:tcPr>
            <w:tcW w:type="pct" w:w="9.1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M4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Optimized</w:t>
            </w:r>
          </w:p>
        </w:tc>
        <w:tc>
          <w:tcPr>
            <w:tcW w:type="pct" w:w="9.16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M5</w:t>
            </w:r>
            <w:r>
              <w:rPr>
                <w:b w:val="false"/>
                <w:bCs w:val="false"/>
                <w:color w:val="FFFFFF"/>
                <w:sz w:val="10"/>
                <w:szCs w:val="10"/>
              </w:rPr>
              <w:br/>
              <w:t xml:space="preserve">Leading</w:t>
            </w:r>
          </w:p>
        </w:tc>
        <w:tc>
          <w:tcPr>
            <w:tcW w:type="pct" w:w="7.99%"/>
            <w:shd w:fill="1B4F8A" w:val="clear"/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Δ M1→M3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9FC0E8"/>
                <w:sz w:val="12"/>
                <w:szCs w:val="12"/>
              </w:rPr>
              <w:t xml:space="preserve">9.0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Manage Financial Resources · L1 DOMAIN AGGREGATE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color w:val="C7DBF2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62%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36%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C7DBF2"/>
                <w:sz w:val="12"/>
                <w:szCs w:val="12"/>
              </w:rPr>
              <w:t xml:space="preserve">26%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0D2D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D9A8"/>
                <w:sz w:val="12"/>
                <w:szCs w:val="12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Perform planning and management accounting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manage financial resources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planning/budgeting/forecasting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6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19%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maintain budget policies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periodic budgets and plans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Operationalize and implement plans to achieve budget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periodic financial forecasts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variance analysis against forecasts and budgets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cost accounting and control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3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23%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inventory accounting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profit center accounting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cost of sales analysis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product costing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9.1.3.5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variance analysis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9.1.3.6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Report on profitability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cost management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27%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key cost drivers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9.1.4.2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Measure cost drivers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9.1.4.3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Determine critical activities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9.1.4.4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asset resource deployment and utilization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Evaluate and manage financial performance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57.14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42.86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29%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9.1.5.1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Assess customer and product profitability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9.1.5.2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Evaluate new products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9.1.5.3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life cycle costing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9.1.5.4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Optimize customer and product mix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9.1.5.5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Track performance of new-customer and product strategies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9.1.5.6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activity-based performance measures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9.1.5.7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continuous cost improvement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Perform revenue accounting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27%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customer credit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30%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credit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Analyze/Approve new account applications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 credit scoring history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Forecast credit scoring requirement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Review existing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9.2.1.6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Produce credit/collection reports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9.2.1.7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Reinstate or suspend accounts based on credit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Invoice customer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customer/product master files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Generate customer billing data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Transmit billing data to customers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Post receivable entries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Resolve customer billing inquiries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accounts receivable (AR)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4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6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14%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-28%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AR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Receive/Deposit customer payments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Apply cash remittances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AR reports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9.2.3.5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Post AR activity to the general ledger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and process collections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8.5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8.5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4.29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-19%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policies for delinquent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9.2.4.2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 delinquent account balances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9.2.4.3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Correspond/Negotiate with delinquent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9.2.4.4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Discuss account resolution with internal parties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9.2.4.5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adjustments/write off balances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9.2.4.6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recovery workout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9.2.4.7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default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and process adjustments/deductions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9.2.5.1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policies/procedures for adjustments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9.2.5.2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 adjustments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9.2.5.3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Correspond/Negotiate with customer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9.2.5.4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Discuss resolution with internal parties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9.2.5.5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chargeback invoices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9.2.5.6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related entries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Perform general accounting and reporting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financial policies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4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40%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Negotiate service-level agreements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accounting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Publish accounting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Set and enforce approval limits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common financial systems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general accounting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chart of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journal entries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allocations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period end adjustments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Post and reconcile intercompany transactions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9.3.2.6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Reconcile general ledger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9.3.2.7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consolidations and process eliminations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9.3.2.8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trial balance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9.3.2.9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and post management adjustments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fixed-asset accounting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1.11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88.89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13%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fixed-asset policies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fixed-asset master data files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and record fixed-asset additions and retires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and record fixed-asset adjustments, enhancements, revaluations, and transfers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9.3.3.5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and record fixed-asset maintenance and repair expenses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9.3.3.6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Calculate and record depreciation expense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9.3.3.7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Reconcile fixed-asset ledger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9.3.3.8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Track fixed-assets including physical inventory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9.3.3.9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Provide fixed-asset data to support tax, statutory, and regulatory reporting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financial reporting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62.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2.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23%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-28%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business unit financial statements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9.3.4.2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consolidated financial statements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9.3.4.3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business unit reporting/review management reports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9.3.4.4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consolidated reporting/review of cost management reports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9.3.4.5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statements for board review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9.3.4.6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Produce quarterly/annual filings and shareholder reports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9.3.4.7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Produce regulatory reports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9.3.4.8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legal and management consolidation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Manage fixed-asset project accounting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capital planning and project approval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-19%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capital investment policies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approve capital expenditure plans and budgets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Review and approve capital projects and fixed-asset acquisitions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Conduct financial justification for project approval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capital project accounting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8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Create project account codes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Record project-related transactions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track capital projects and budget spending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Close/Capitalize projects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9.4.2.5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Measure financial returns on completed capital projects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Process payroll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55%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Report time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4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4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policies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Collect and record employee time worked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 and report paid and unpaid leave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regular, overtime, and other hours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 and report employee utilization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pay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Enter employee time worked into payroll system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and administer employee earnings information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and administer applicable deductions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changes in tax status of employees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and distribute payments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9.5.2.6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and distribute manual checks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9.5.2.7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period-end adjustments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9.5.2.8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Respond to employee payroll inquiries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and process payroll taxes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8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tax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tax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Calculate and pay applicable payroll taxes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Produce and distribute employee annual tax statements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9.5.3.5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File regulatory payroll tax forms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Process accounts payable and expense reimbursements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57%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23%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accounts payable (AP)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9.0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81.82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9.09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Verify AP pay file with purchase order vendor master file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Maintain/Manage electronic commerce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Audit invoices and key data in AP system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Approve payments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financial accruals and reversals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payables taxes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Research/Resolve payable exceptions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payments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9.6.1.9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Respond to AP inquiries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9.6.1.10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Retain records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9.6.1.11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Adjust accounting records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expense reimbursements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6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24%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and communicate expense reimbursement policies and approval limits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Capture and report relevant tax data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Approve reimbursements and advances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reimbursements and advances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personnel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corporate credit cards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1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66.67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-24%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corporate credit card policies and approval limits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corporate credit card requests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Order corporate credit cards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corporate credit card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9.6.3.5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Approve/Change credit limits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9.6.3.6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Cancel/Deactivate credit card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Manage treasury operations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-21%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treasury policies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scope and governance of treasury operations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and publish treasury policies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treasury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treasury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Audit treasury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9.7.1.6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Revise treasury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9.7.1.7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and confirm internal controls for treasury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9.7.1.8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treasury security requirements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cash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2.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5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62.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26%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and reconcile cash positions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cash equivalents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and oversee electronic fund transfers (EFTs)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cash flow forecasts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cash flows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9.7.2.6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Produce cash management accounting transactions and reports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9.7.2.7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and oversee banking relationships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9.7.2.8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Analyze, negotiate, resolve, and confirm bank fees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in-house bank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in-house bank accounts for subsidiaries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and facilitate inter-company borrowing transactions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centralized outgoing payments on behalf of subsidiaries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central incoming payments on behalf of subsidiaries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9.7.3.5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internal payments and netting transactions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9.7.3.6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Calculate interest and fees for in-house bank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9.7.3.7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Provide account statements for in-house bank accounts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debt and investment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63%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27%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9.7.4.1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investment policy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9.7.4.2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financial intermediary relationships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9.7.4.3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liquidity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9.7.4.4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issuer exposure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9.7.4.5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and oversee debt and investment transactions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9.7.4.6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and oversee foreign currency transactions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9.7.4.7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Produce debt and investment accounting transaction reports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9.7.4.8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and oversee interest rate transactions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and execute risk and hedging transactions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6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9.7.5.1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risk management/hedging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9.7.5.2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interest rate risk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9.7.5.3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foreign exchange risk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9.7.5.4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exposure risk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9.7.5.5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Execute hedging transactions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9.7.5.6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Produce hedge accounting transactions and reports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9.7.6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financial fraud/dispute cases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Manage internal controls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45%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36%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internal controls, policies,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6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7B9FD1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2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51%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-18%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Establish board of directors and audit committee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and communicate code of ethics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Assign roles and responsibility for internal controls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business process objectives and risks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Define entity/unit risk tolerances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1"/>
                <w:szCs w:val="11"/>
              </w:rPr>
              <w:t xml:space="preserve">Decision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65%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Operate controls and monitor compliance with internal controls policies and procedures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50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40%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control effectiveness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Remediate control deficiencies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EE2E2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991B1B"/>
                <w:sz w:val="11"/>
                <w:szCs w:val="11"/>
              </w:rPr>
              <w:t xml:space="preserve">Exception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Report on internal controls compliance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9.8.3.1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Report to external auditors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9.8.3.2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Report to regulators, share-/debt-holders, securities exchanges, etc.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9.8.3.3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Report to third parties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9.8.3.4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Report to internal management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0F2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0369A1"/>
                <w:sz w:val="11"/>
                <w:szCs w:val="11"/>
              </w:rPr>
              <w:t xml:space="preserve">Document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9.9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Manage taxes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24%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tax strategy and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66.67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33.33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32%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Develop foreign, national, state, and local tax 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Consolidate and optimize total tax plan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Maintain tax master data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taxes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4.29%"/>
                  <w:tcBorders>
                    <w:top w:val="none" w:color="FFFFFF" w:sz="0"/>
                    <w:left w:val="single" w:color="FFFFFF" w:sz="4"/>
                    <w:bottom w:val="none" w:color="FFFFFF" w:sz="0"/>
                    <w:right w:val="single" w:color="FFFFFF" w:sz="4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  <w:tc>
                <w:tcPr>
                  <w:tcW w:type="pct" w:w="85.71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64%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16%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9.9.2.1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tax planning/strategy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3F0FE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534AB7"/>
                <w:sz w:val="11"/>
                <w:szCs w:val="11"/>
              </w:rPr>
              <w:t xml:space="preserve">Knowledge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9.9.2.2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tax returns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9.9.2.3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foreign taxes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9.9.2.4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Calculate deferred taxes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9.9.2.5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Account for taxes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9.9.2.6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tax compliance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BFCFE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9.9.2.7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40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Address tax inquiries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1"/>
                <w:szCs w:val="11"/>
              </w:rPr>
              <w:t xml:space="preserve">Transaction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9.10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Manage international funds/consolidation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76%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66%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51%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38%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9.10.1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international rates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9.10.2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Manage transactions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9.10.3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Monitor currency exposure/hedge currency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79A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85%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65%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-20%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9.10.4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Report results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9.11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2D4F"/>
                <w:sz w:val="14"/>
                <w:szCs w:val="14"/>
              </w:rPr>
              <w:t xml:space="preserve">Perform global trade services · L2 AVG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67%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55%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41%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29%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444444"/>
                <w:sz w:val="14"/>
                <w:szCs w:val="14"/>
              </w:rPr>
              <w:t xml:space="preserve">19%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14"/>
                <w:szCs w:val="14"/>
              </w:rPr>
              <w:t xml:space="preserve">-26%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9.11.1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Screen sanctioned party list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9.11.2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Control exports and imports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9.11.3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Classify products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9.11.4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Perform currency conversion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9.11.5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Calculate duty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9.11.6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Communicate with customs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9.11.7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Document trade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9.11.8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Process trade preferences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FC48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48%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35%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12%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-25%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9.11.9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Handle restitution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8A8A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92%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82%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75%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68%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-13%</w:t>
            </w:r>
          </w:p>
        </w:tc>
      </w:tr>
      <w:tr>
        <w:tc>
          <w:tcPr>
            <w:tcW w:type="pct" w:w="8.0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3"/>
                <w:szCs w:val="13"/>
              </w:rPr>
              <w:t xml:space="preserve">9.11.10</w:t>
            </w:r>
          </w:p>
        </w:tc>
        <w:tc>
          <w:tcPr>
            <w:tcW w:type="pct" w:w="27.8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60"/>
              <w:left w:type="dxa" w:w="14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Prepare letter of credit</w:t>
            </w:r>
          </w:p>
        </w:tc>
        <w:tc>
          <w:tcPr>
            <w:tcW w:type="pct" w:w="10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180" w:hRule="exact"/>
              </w:trPr>
              <w:tc>
                <w:tcPr>
                  <w:tcW w:type="pct" w:w="10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EB8E0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/>
              </w:tc>
            </w:tr>
          </w:tbl>
          <w:p/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72%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58%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6E8F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1B4F8A"/>
                <w:sz w:val="14"/>
                <w:szCs w:val="14"/>
              </w:rPr>
              <w:t xml:space="preserve">40%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28%</w:t>
            </w:r>
          </w:p>
        </w:tc>
        <w:tc>
          <w:tcPr>
            <w:tcW w:type="pct" w:w="9.1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444444"/>
                <w:sz w:val="14"/>
                <w:szCs w:val="14"/>
              </w:rPr>
              <w:t xml:space="preserve">18%</w:t>
            </w:r>
          </w:p>
        </w:tc>
        <w:tc>
          <w:tcPr>
            <w:tcW w:type="pct" w:w="7.9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9FBFD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45309"/>
                <w:sz w:val="14"/>
                <w:szCs w:val="14"/>
              </w:rPr>
              <w:t xml:space="preserve">-32%</w:t>
            </w:r>
          </w:p>
        </w:tc>
      </w:tr>
    </w:tbl>
    <w:p>
      <w:pPr>
        <w:spacing w:after="1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600"/>
        <w:gridCol w:w="1800"/>
        <w:gridCol w:w="1600"/>
        <w:gridCol w:w="5540"/>
      </w:tblGrid>
      <w:tr>
        <w:tc>
          <w:tcPr>
            <w:tcW w:type="pct" w:w="1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B4F8A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Decision</w:t>
            </w:r>
          </w:p>
        </w:tc>
        <w:tc>
          <w:tcPr>
            <w:tcW w:type="pct" w:w="11.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534AB7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Knowledge</w:t>
            </w:r>
          </w:p>
        </w:tc>
        <w:tc>
          <w:tcPr>
            <w:tcW w:type="pct" w:w="11.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0369A1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Document</w:t>
            </w:r>
          </w:p>
        </w:tc>
        <w:tc>
          <w:tcPr>
            <w:tcW w:type="pct" w:w="13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66534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Transaction</w:t>
            </w:r>
          </w:p>
        </w:tc>
        <w:tc>
          <w:tcPr>
            <w:tcW w:type="pct" w:w="11.7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991B1B"/>
                <w:sz w:val="13"/>
                <w:szCs w:val="13"/>
              </w:rPr>
              <w:t xml:space="preserve">■ </w:t>
            </w:r>
            <w:r>
              <w:rPr>
                <w:color w:val="444444"/>
                <w:sz w:val="13"/>
                <w:szCs w:val="13"/>
              </w:rPr>
              <w:t xml:space="preserve">Exception</w:t>
            </w:r>
          </w:p>
        </w:tc>
        <w:tc>
          <w:tcPr>
            <w:tcW w:type="pct" w:w="40.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100"/>
      </w:pPr>
      <w:r>
        <w:rPr>
          <w:i/>
          <w:iCs/>
          <w:color w:val="888888"/>
          <w:sz w:val="13"/>
          <w:szCs w:val="13"/>
        </w:rPr>
        <w:t xml:space="preserve">Full L1→L2→L3→L4 hierarchy · Mixed-pattern rows show an equal-weighted rollup of their real L4 children · © Timothy P. King 2026 · developed with the assistance of Claude (Anthropic)</w:t>
      </w:r>
    </w:p>
    <w:sectPr>
      <w:headerReference w:type="default" r:id="rId7"/>
      <w:footerReference w:type="default" r:id="rId8"/>
      <w:pgSz w:w="12240" w:h="15840" w:orient="landscape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9.0 — HITL Maturity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2026-08-19T13:16:31.929Z</dcterms:created>
  <dcterms:modified xsi:type="dcterms:W3CDTF">2026-08-19T13:16:31.929Z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