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Order-to-Cash</w:t>
      </w:r>
    </w:p>
    <w:p>
      <w:pPr>
        <w:spacing w:after="200"/>
      </w:pPr>
      <w:r>
        <w:rPr>
          <w:i/>
          <w:iCs/>
          <w:color w:val="888888"/>
          <w:sz w:val="17"/>
          <w:szCs w:val="17"/>
        </w:rPr>
        <w:t xml:space="preserve">PCF 9.2 — Invoice, AR &amp; collections — RACI Assignment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46"/>
        <w:gridCol w:w="3347"/>
        <w:gridCol w:w="3347"/>
      </w:tblGrid>
      <w:tr>
        <w:tc>
          <w:tcPr>
            <w:tcW w:type="pct" w:w="33.33%"/>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L3 PROCESSES</w:t>
            </w:r>
          </w:p>
          <w:p>
            <w:r>
              <w:rPr>
                <w:b/>
                <w:bCs/>
                <w:color w:val="1B4F8A"/>
                <w:sz w:val="22"/>
                <w:szCs w:val="22"/>
              </w:rPr>
              <w:t xml:space="preserve">5</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L4 ACTIVITIES</w:t>
            </w:r>
          </w:p>
          <w:p>
            <w:r>
              <w:rPr>
                <w:b/>
                <w:bCs/>
                <w:color w:val="1B4F8A"/>
                <w:sz w:val="22"/>
                <w:szCs w:val="22"/>
              </w:rPr>
              <w:t xml:space="preserve">30</w:t>
            </w:r>
          </w:p>
        </w:tc>
        <w:tc>
          <w:tcPr>
            <w:tcW w:type="pct" w:w="33.34%"/>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3"/>
                <w:szCs w:val="13"/>
              </w:rPr>
              <w:t xml:space="preserve">ROLES INVOLVED</w:t>
            </w:r>
          </w:p>
          <w:p>
            <w:r>
              <w:rPr>
                <w:b/>
                <w:bCs/>
                <w:color w:val="1B4F8A"/>
                <w:sz w:val="22"/>
                <w:szCs w:val="22"/>
              </w:rPr>
              <w:t xml:space="preserve">5</w:t>
            </w:r>
          </w:p>
        </w:tc>
      </w:tr>
    </w:tbl>
    <w:p>
      <w:pPr>
        <w:spacing w:after="160" w:before="200"/>
      </w:pPr>
      <w:r>
        <w:rPr>
          <w:color w:val="444444"/>
          <w:sz w:val="18"/>
          <w:szCs w:val="18"/>
        </w:rPr>
        <w:t xml:space="preserve">This document reports confirmed R/A/C/I role accountability for the Order-to-Cash value stream (PCF 9.2) — every L4 activity inherits its parent L3's confirmed RACI, since RACI in this framework is assigned at L3 process granularity, grounded directly in real APQC L4 activity text against the Organizational Role Taxonomy.</w:t>
      </w:r>
    </w:p>
    <w:p>
      <w:pPr>
        <w:spacing w:after="40" w:before="100"/>
      </w:pPr>
      <w:r>
        <w:rPr>
          <w:b/>
          <w:bCs/>
          <w:color w:val="0D2D4F"/>
          <w:sz w:val="19"/>
          <w:szCs w:val="19"/>
        </w:rPr>
        <w:t xml:space="preserve">RACI Assignment</w:t>
      </w:r>
    </w:p>
    <w:p>
      <w:pPr>
        <w:spacing w:after="160"/>
      </w:pPr>
      <w:r>
        <w:rPr>
          <w:color w:val="888888"/>
          <w:sz w:val="14"/>
          <w:szCs w:val="14"/>
        </w:rPr>
        <w:t xml:space="preserve">R = Responsible · A = Accountable · C = Consulted · I = Informed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0"/>
        <w:gridCol w:w="3200"/>
        <w:gridCol w:w="1000"/>
        <w:gridCol w:w="1450"/>
        <w:gridCol w:w="1450"/>
        <w:gridCol w:w="1200"/>
        <w:gridCol w:w="990"/>
      </w:tblGrid>
      <w:tr>
        <w:trPr>
          <w:tblHeader/>
        </w:trPr>
        <w:tc>
          <w:tcPr>
            <w:tcW w:type="pct" w:w="7.4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31.87%"/>
            <w:shd w:fill="1B4F8A" w:val="clear"/>
            <w:tcMar>
              <w:top w:type="dxa" w:w="60"/>
              <w:left w:type="dxa" w:w="140"/>
              <w:bottom w:type="dxa" w:w="60"/>
              <w:right w:type="dxa" w:w="60"/>
            </w:tcMar>
            <w:vAlign w:val="bottom"/>
          </w:tcPr>
          <w:p>
            <w:pPr>
              <w:jc w:val="left"/>
            </w:pPr>
            <w:r>
              <w:rPr>
                <w:b/>
                <w:bCs/>
                <w:color w:val="FFFFFF"/>
                <w:sz w:val="11"/>
                <w:szCs w:val="11"/>
              </w:rPr>
              <w:t xml:space="preserve">L3-Process / L4-Activity</w:t>
            </w:r>
          </w:p>
        </w:tc>
        <w:tc>
          <w:tcPr>
            <w:tcW w:type="pct" w:w="9.96%"/>
            <w:shd w:fill="1B4F8A" w:val="clear"/>
            <w:vAlign w:val="bottom"/>
          </w:tcPr>
          <w:p>
            <w:pPr>
              <w:jc w:val="center"/>
            </w:pPr>
            <w:r>
              <w:rPr>
                <w:b/>
                <w:bCs/>
                <w:color w:val="FFFFFF"/>
                <w:sz w:val="11"/>
                <w:szCs w:val="11"/>
              </w:rPr>
              <w:t xml:space="preserve">Pattern</w:t>
            </w:r>
          </w:p>
        </w:tc>
        <w:tc>
          <w:tcPr>
            <w:tcW w:type="pct" w:w="14.44%"/>
            <w:shd w:fill="1B4F8A" w:val="clear"/>
            <w:tcMar>
              <w:top w:type="dxa" w:w="60"/>
              <w:left w:type="dxa" w:w="140"/>
              <w:bottom w:type="dxa" w:w="60"/>
              <w:right w:type="dxa" w:w="60"/>
            </w:tcMar>
            <w:vAlign w:val="bottom"/>
          </w:tcPr>
          <w:p>
            <w:pPr>
              <w:jc w:val="left"/>
            </w:pPr>
            <w:r>
              <w:rPr>
                <w:b/>
                <w:bCs/>
                <w:color w:val="FFFFFF"/>
                <w:sz w:val="11"/>
                <w:szCs w:val="11"/>
              </w:rPr>
              <w:t xml:space="preserve">R — Responsible</w:t>
            </w:r>
          </w:p>
        </w:tc>
        <w:tc>
          <w:tcPr>
            <w:tcW w:type="pct" w:w="14.44%"/>
            <w:shd w:fill="1B4F8A" w:val="clear"/>
            <w:vAlign w:val="bottom"/>
          </w:tcPr>
          <w:p>
            <w:pPr>
              <w:jc w:val="center"/>
            </w:pPr>
            <w:r>
              <w:rPr>
                <w:b/>
                <w:bCs/>
                <w:color w:val="FFFFFF"/>
                <w:sz w:val="11"/>
                <w:szCs w:val="11"/>
              </w:rPr>
              <w:t xml:space="preserve">★</w:t>
            </w:r>
            <w:r>
              <w:rPr>
                <w:b/>
                <w:bCs/>
                <w:color w:val="FFFFFF"/>
                <w:sz w:val="11"/>
                <w:szCs w:val="11"/>
              </w:rPr>
              <w:br/>
              <w:t xml:space="preserve">A — Accountable</w:t>
            </w:r>
          </w:p>
        </w:tc>
        <w:tc>
          <w:tcPr>
            <w:tcW w:type="pct" w:w="11.95%"/>
            <w:shd w:fill="1B4F8A" w:val="clear"/>
            <w:tcMar>
              <w:top w:type="dxa" w:w="60"/>
              <w:left w:type="dxa" w:w="140"/>
              <w:bottom w:type="dxa" w:w="60"/>
              <w:right w:type="dxa" w:w="60"/>
            </w:tcMar>
            <w:vAlign w:val="bottom"/>
          </w:tcPr>
          <w:p>
            <w:pPr>
              <w:jc w:val="left"/>
            </w:pPr>
            <w:r>
              <w:rPr>
                <w:b/>
                <w:bCs/>
                <w:color w:val="FFFFFF"/>
                <w:sz w:val="11"/>
                <w:szCs w:val="11"/>
              </w:rPr>
              <w:t xml:space="preserve">C — Consulted</w:t>
            </w:r>
          </w:p>
        </w:tc>
        <w:tc>
          <w:tcPr>
            <w:tcW w:type="pct" w:w="9.86%"/>
            <w:shd w:fill="1B4F8A" w:val="clear"/>
            <w:tcMar>
              <w:top w:type="dxa" w:w="60"/>
              <w:left w:type="dxa" w:w="140"/>
              <w:bottom w:type="dxa" w:w="60"/>
              <w:right w:type="dxa" w:w="60"/>
            </w:tcMar>
            <w:vAlign w:val="bottom"/>
          </w:tcPr>
          <w:p>
            <w:pPr>
              <w:jc w:val="left"/>
            </w:pPr>
            <w:r>
              <w:rPr>
                <w:b/>
                <w:bCs/>
                <w:color w:val="FFFFFF"/>
                <w:sz w:val="11"/>
                <w:szCs w:val="11"/>
              </w:rPr>
              <w:t xml:space="preserve">I — Informed</w:t>
            </w:r>
          </w:p>
        </w:tc>
      </w:tr>
      <w:tr>
        <w:tc>
          <w:tcPr>
            <w:tcW w:type="pct" w:w="100%"/>
            <w:gridSpan w:val="7"/>
            <w:tcBorders>
              <w:top w:val="single" w:color="7AAED6" w:sz="2"/>
              <w:left w:val="single" w:color="7AAED6" w:sz="2"/>
              <w:bottom w:val="single" w:color="7AAED6" w:sz="2"/>
              <w:right w:val="single" w:color="7AAED6" w:sz="2"/>
            </w:tcBorders>
            <w:shd w:fill="EEF3FA" w:val="clear"/>
          </w:tcPr>
          <w:p>
            <w:r>
              <w:rPr>
                <w:b/>
                <w:bCs/>
                <w:color w:val="0D2D4F"/>
                <w:sz w:val="14"/>
                <w:szCs w:val="14"/>
              </w:rPr>
              <w:t xml:space="preserve">9.2  </w:t>
            </w:r>
            <w:r>
              <w:rPr>
                <w:b/>
                <w:bCs/>
                <w:color w:val="0D2D4F"/>
                <w:sz w:val="14"/>
                <w:szCs w:val="14"/>
              </w:rPr>
              <w:t xml:space="preserve">Perform revenue accounting</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customer credit</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4.29%"/>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28.57%"/>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credit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Analyze/Approve new account applications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Analyze credit scoring history</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Forecast credit scoring requirement</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Review existing accounts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9.2.1.6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Produce credit/collection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9.2.1.7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Reinstate or suspend accounts based on credit policies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9.2.2</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Invoice customer</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0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Maintain customer/product master files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Generate customer billing data</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Transmit billing data to customers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9.2.2.4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Post receivable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Resolve customer billing inquiries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Process accounts receivable (AR)</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40%"/>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60%"/>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AR policies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Receive/Deposit customer payments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Apply cash remittances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9.2.3.4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Prepare AR reports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9.2.3.5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Post AR activity to the general ledger</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Treasury Manager</w:t>
            </w:r>
          </w:p>
        </w:tc>
      </w:tr>
      <w:tr>
        <w:tc>
          <w:tcPr>
            <w:tcW w:type="pct" w:w="7.4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000000"/>
                <w:sz w:val="13"/>
                <w:szCs w:val="13"/>
              </w:rPr>
              <w:t xml:space="preserve">9.2.4</w:t>
            </w:r>
          </w:p>
        </w:tc>
        <w:tc>
          <w:tcPr>
            <w:tcW w:type="pct" w:w="31.87%"/>
            <w:tcBorders>
              <w:top w:val="single" w:color="7AAED6" w:sz="2"/>
              <w:left w:val="single" w:color="7AAED6" w:sz="2"/>
              <w:bottom w:val="single" w:color="7AAED6" w:sz="2"/>
              <w:right w:val="single" w:color="7AAED6" w:sz="2"/>
            </w:tcBorders>
            <w:shd w:fill="F9FBFD" w:val="clear"/>
            <w:tcMar>
              <w:top w:type="dxa" w:w="60"/>
              <w:left w:type="dxa" w:w="140"/>
              <w:bottom w:type="dxa" w:w="60"/>
              <w:right w:type="dxa" w:w="60"/>
            </w:tcMar>
            <w:vAlign w:val="top"/>
          </w:tcPr>
          <w:p>
            <w:pPr>
              <w:jc w:val="left"/>
            </w:pPr>
            <w:r>
              <w:rPr>
                <w:b w:val="false"/>
                <w:bCs w:val="false"/>
                <w:color w:val="444444"/>
                <w:sz w:val="14"/>
                <w:szCs w:val="14"/>
              </w:rPr>
              <w:t xml:space="preserve">Manage and process collections</w:t>
            </w:r>
          </w:p>
        </w:tc>
        <w:tc>
          <w:tcPr>
            <w:tcW w:type="pct" w:w="9.96%"/>
            <w:tcBorders>
              <w:top w:val="single" w:color="7AAED6" w:sz="2"/>
              <w:left w:val="single" w:color="7AAED6" w:sz="2"/>
              <w:bottom w:val="single" w:color="7AAED6" w:sz="2"/>
              <w:right w:val="single" w:color="7AAED6" w:sz="2"/>
            </w:tcBorders>
            <w:shd w:fill="F9FBFD"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28.5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28.57%"/>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14.29%"/>
                  <w:tcBorders>
                    <w:top w:val="none" w:color="FFFFFF" w:sz="0"/>
                    <w:left w:val="single" w:color="FFFFFF" w:sz="4"/>
                    <w:bottom w:val="none" w:color="FFFFFF" w:sz="0"/>
                    <w:right w:val="single" w:color="FFFFFF" w:sz="4"/>
                  </w:tcBorders>
                  <w:shd w:fill="6FC48C" w:val="clear"/>
                  <w:tcMar>
                    <w:top w:type="dxa" w:w="0"/>
                    <w:left w:type="dxa" w:w="0"/>
                    <w:bottom w:type="dxa" w:w="0"/>
                    <w:right w:type="dxa" w:w="0"/>
                  </w:tcMar>
                </w:tcPr>
                <w:p/>
              </w:tc>
              <w:tc>
                <w:tcPr>
                  <w:tcW w:type="pct" w:w="14.29%"/>
                  <w:tcBorders>
                    <w:top w:val="none" w:color="FFFFFF" w:sz="0"/>
                    <w:left w:val="none" w:color="FFFFFF" w:sz="0"/>
                    <w:bottom w:val="none" w:color="FFFFFF" w:sz="0"/>
                    <w:right w:val="none" w:color="FFFFFF" w:sz="0"/>
                  </w:tcBorders>
                  <w:shd w:fill="E88A8A"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9FBFD"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9FBFD"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 for delinquent accounts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delinquent account balances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delinquent accounts</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account resolution with internal parties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Process adjustments/write off balances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9.2.4.6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Perform recovery workout</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9.2.4.7</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Manage default accounts</w:t>
            </w:r>
          </w:p>
        </w:tc>
        <w:tc>
          <w:tcPr>
            <w:tcW w:type="pct" w:w="9.96%"/>
            <w:tcBorders>
              <w:top w:val="single" w:color="7AAED6" w:sz="2"/>
              <w:left w:val="single" w:color="7AAED6" w:sz="2"/>
              <w:bottom w:val="single" w:color="7AAED6" w:sz="2"/>
              <w:right w:val="single" w:color="7AAED6" w:sz="2"/>
            </w:tcBorders>
            <w:shd w:fill="FEE2E2" w:val="clear"/>
            <w:vAlign w:val="top"/>
          </w:tcPr>
          <w:p>
            <w:pPr>
              <w:jc w:val="center"/>
            </w:pPr>
            <w:r>
              <w:rPr>
                <w:b/>
                <w:bCs/>
                <w:color w:val="991B1B"/>
                <w:sz w:val="11"/>
                <w:szCs w:val="11"/>
              </w:rPr>
              <w:t xml:space="preserve">Exception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r>
              <w:rPr>
                <w:color w:val="999999"/>
                <w:sz w:val="14"/>
                <w:szCs w:val="14"/>
              </w:rPr>
              <w:t xml:space="preserve">—</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w:t>
            </w:r>
          </w:p>
        </w:tc>
        <w:tc>
          <w:tcPr>
            <w:tcW w:type="pct" w:w="31.8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444444"/>
                <w:sz w:val="14"/>
                <w:szCs w:val="14"/>
              </w:rPr>
              <w:t xml:space="preserve">Manage and process adjustments/deductions</w:t>
            </w:r>
          </w:p>
        </w:tc>
        <w:tc>
          <w:tcPr>
            <w:tcW w:type="pct" w:w="9.96%"/>
            <w:tcBorders>
              <w:top w:val="single" w:color="7AAED6" w:sz="2"/>
              <w:left w:val="single" w:color="7AAED6" w:sz="2"/>
              <w:bottom w:val="single" w:color="7AAED6" w:sz="2"/>
              <w:right w:val="single" w:color="7AAED6" w:sz="2"/>
            </w:tcBorders>
            <w:shd w:fill="FFFFFF" w:val="clear"/>
            <w:tcMar>
              <w:top w:type="dxa" w:w="50"/>
              <w:left w:type="dxa" w:w="60"/>
              <w:bottom w:type="dxa" w:w="50"/>
              <w:right w:type="dxa" w:w="60"/>
            </w:tcMar>
            <w:vAlign w:val="top"/>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tblGrid>
            <w:tr>
              <w:trPr>
                <w:trHeight w:val="180" w:hRule="exact"/>
              </w:trPr>
              <w:tc>
                <w:tcPr>
                  <w:tcW w:type="pct" w:w="16.67%"/>
                  <w:tcBorders>
                    <w:top w:val="none" w:color="FFFFFF" w:sz="0"/>
                    <w:left w:val="single" w:color="FFFFFF" w:sz="4"/>
                    <w:bottom w:val="none" w:color="FFFFFF" w:sz="0"/>
                    <w:right w:val="single" w:color="FFFFFF" w:sz="4"/>
                  </w:tcBorders>
                  <w:shd w:fill="7B9FD1" w:val="clear"/>
                  <w:tcMar>
                    <w:top w:type="dxa" w:w="0"/>
                    <w:left w:type="dxa" w:w="0"/>
                    <w:bottom w:type="dxa" w:w="0"/>
                    <w:right w:type="dxa" w:w="0"/>
                  </w:tcMar>
                </w:tcPr>
                <w:p/>
              </w:tc>
              <w:tc>
                <w:tcPr>
                  <w:tcW w:type="pct" w:w="33.33%"/>
                  <w:tcBorders>
                    <w:top w:val="none" w:color="FFFFFF" w:sz="0"/>
                    <w:left w:val="single" w:color="FFFFFF" w:sz="4"/>
                    <w:bottom w:val="none" w:color="FFFFFF" w:sz="0"/>
                    <w:right w:val="single" w:color="FFFFFF" w:sz="4"/>
                  </w:tcBorders>
                  <w:shd w:fill="A79AE0" w:val="clear"/>
                  <w:tcMar>
                    <w:top w:type="dxa" w:w="0"/>
                    <w:left w:type="dxa" w:w="0"/>
                    <w:bottom w:type="dxa" w:w="0"/>
                    <w:right w:type="dxa" w:w="0"/>
                  </w:tcMar>
                </w:tcPr>
                <w:p/>
              </w:tc>
              <w:tc>
                <w:tcPr>
                  <w:tcW w:type="pct" w:w="16.67%"/>
                  <w:tcBorders>
                    <w:top w:val="none" w:color="FFFFFF" w:sz="0"/>
                    <w:left w:val="single" w:color="FFFFFF" w:sz="4"/>
                    <w:bottom w:val="none" w:color="FFFFFF" w:sz="0"/>
                    <w:right w:val="single" w:color="FFFFFF" w:sz="4"/>
                  </w:tcBorders>
                  <w:shd w:fill="5EB8E0" w:val="clear"/>
                  <w:tcMar>
                    <w:top w:type="dxa" w:w="0"/>
                    <w:left w:type="dxa" w:w="0"/>
                    <w:bottom w:type="dxa" w:w="0"/>
                    <w:right w:type="dxa" w:w="0"/>
                  </w:tcMar>
                </w:tcPr>
                <w:p/>
              </w:tc>
              <w:tc>
                <w:tcPr>
                  <w:tcW w:type="pct" w:w="33.33%"/>
                  <w:tcBorders>
                    <w:top w:val="none" w:color="FFFFFF" w:sz="0"/>
                    <w:left w:val="none" w:color="FFFFFF" w:sz="0"/>
                    <w:bottom w:val="none" w:color="FFFFFF" w:sz="0"/>
                    <w:right w:val="none" w:color="FFFFFF" w:sz="0"/>
                  </w:tcBorders>
                  <w:shd w:fill="6FC48C" w:val="clear"/>
                  <w:tcMar>
                    <w:top w:type="dxa" w:w="0"/>
                    <w:left w:type="dxa" w:w="0"/>
                    <w:bottom w:type="dxa" w:w="0"/>
                    <w:right w:type="dxa" w:w="0"/>
                  </w:tcMar>
                </w:tcPr>
                <w:p/>
              </w:tc>
            </w:tr>
          </w:tbl>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9.2.5.1</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Establish policies/procedures for adjustments</w:t>
            </w:r>
          </w:p>
        </w:tc>
        <w:tc>
          <w:tcPr>
            <w:tcW w:type="pct" w:w="9.96%"/>
            <w:tcBorders>
              <w:top w:val="single" w:color="7AAED6" w:sz="2"/>
              <w:left w:val="single" w:color="7AAED6" w:sz="2"/>
              <w:bottom w:val="single" w:color="7AAED6" w:sz="2"/>
              <w:right w:val="single" w:color="7AAED6" w:sz="2"/>
            </w:tcBorders>
            <w:shd w:fill="E0F2FE" w:val="clear"/>
            <w:vAlign w:val="top"/>
          </w:tcPr>
          <w:p>
            <w:pPr>
              <w:jc w:val="center"/>
            </w:pPr>
            <w:r>
              <w:rPr>
                <w:b/>
                <w:bCs/>
                <w:color w:val="0369A1"/>
                <w:sz w:val="11"/>
                <w:szCs w:val="11"/>
              </w:rPr>
              <w:t xml:space="preserve">Document</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9.2.5.2</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Analyze adjustments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9.2.5.3</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Correspond/Negotiate with customer</w:t>
            </w:r>
          </w:p>
        </w:tc>
        <w:tc>
          <w:tcPr>
            <w:tcW w:type="pct" w:w="9.96%"/>
            <w:tcBorders>
              <w:top w:val="single" w:color="7AAED6" w:sz="2"/>
              <w:left w:val="single" w:color="7AAED6" w:sz="2"/>
              <w:bottom w:val="single" w:color="7AAED6" w:sz="2"/>
              <w:right w:val="single" w:color="7AAED6" w:sz="2"/>
            </w:tcBorders>
            <w:shd w:fill="EEF3FA" w:val="clear"/>
            <w:vAlign w:val="top"/>
          </w:tcPr>
          <w:p>
            <w:pPr>
              <w:jc w:val="center"/>
            </w:pPr>
            <w:r>
              <w:rPr>
                <w:b/>
                <w:bCs/>
                <w:color w:val="1B4F8A"/>
                <w:sz w:val="11"/>
                <w:szCs w:val="11"/>
              </w:rPr>
              <w:t xml:space="preserve">Decision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9.2.5.4</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Discuss resolution with internal parties</w:t>
            </w:r>
          </w:p>
        </w:tc>
        <w:tc>
          <w:tcPr>
            <w:tcW w:type="pct" w:w="9.96%"/>
            <w:tcBorders>
              <w:top w:val="single" w:color="7AAED6" w:sz="2"/>
              <w:left w:val="single" w:color="7AAED6" w:sz="2"/>
              <w:bottom w:val="single" w:color="7AAED6" w:sz="2"/>
              <w:right w:val="single" w:color="7AAED6" w:sz="2"/>
            </w:tcBorders>
            <w:shd w:fill="F3F0FE" w:val="clear"/>
            <w:vAlign w:val="top"/>
          </w:tcPr>
          <w:p>
            <w:pPr>
              <w:jc w:val="center"/>
            </w:pPr>
            <w:r>
              <w:rPr>
                <w:b/>
                <w:bCs/>
                <w:color w:val="534AB7"/>
                <w:sz w:val="11"/>
                <w:szCs w:val="11"/>
              </w:rPr>
              <w:t xml:space="preserve">Knowledge</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FFFFF" w:val="clear"/>
            <w:tcMar>
              <w:top w:type="dxa" w:w="60"/>
              <w:left w:type="dxa" w:w="140"/>
              <w:bottom w:type="dxa" w:w="60"/>
              <w:right w:type="dxa" w:w="60"/>
            </w:tcMar>
            <w:vAlign w:val="top"/>
          </w:tcPr>
          <w:p>
            <w:pPr>
              <w:jc w:val="left"/>
            </w:pPr>
            <w:r>
              <w:rPr>
                <w:b w:val="false"/>
                <w:bCs w:val="false"/>
                <w:color w:val="000000"/>
                <w:sz w:val="13"/>
                <w:szCs w:val="13"/>
              </w:rPr>
              <w:t xml:space="preserve">9.2.5.5</w:t>
            </w:r>
          </w:p>
        </w:tc>
        <w:tc>
          <w:tcPr>
            <w:tcW w:type="pct" w:w="31.87%"/>
            <w:tcBorders>
              <w:top w:val="single" w:color="7AAED6" w:sz="2"/>
              <w:left w:val="single" w:color="7AAED6" w:sz="2"/>
              <w:bottom w:val="single" w:color="7AAED6" w:sz="2"/>
              <w:right w:val="single" w:color="7AAED6" w:sz="2"/>
            </w:tcBorders>
            <w:shd w:fill="FFFFFF" w:val="clear"/>
            <w:tcMar>
              <w:top w:type="dxa" w:w="60"/>
              <w:left w:type="dxa" w:w="400"/>
              <w:bottom w:type="dxa" w:w="60"/>
              <w:right w:type="dxa" w:w="60"/>
            </w:tcMar>
            <w:vAlign w:val="top"/>
          </w:tcPr>
          <w:p>
            <w:pPr>
              <w:jc w:val="left"/>
            </w:pPr>
            <w:r>
              <w:rPr>
                <w:b w:val="false"/>
                <w:bCs w:val="false"/>
                <w:color w:val="444444"/>
                <w:sz w:val="14"/>
                <w:szCs w:val="14"/>
              </w:rPr>
              <w:t xml:space="preserve">Prepare chargeback invoices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FFFFF" w:val="clear"/>
          </w:tcPr>
          <w:p>
            <w:pPr>
              <w:spacing w:after="30"/>
            </w:pPr>
            <w:r>
              <w:rPr>
                <w:i w:val="false"/>
                <w:iCs w:val="false"/>
                <w:color w:val="444444"/>
                <w:sz w:val="14"/>
                <w:szCs w:val="14"/>
              </w:rPr>
              <w:t xml:space="preserve">VP Controller</w:t>
            </w:r>
          </w:p>
        </w:tc>
      </w:tr>
      <w:tr>
        <w:tc>
          <w:tcPr>
            <w:tcW w:type="pct" w:w="7.47%"/>
            <w:tcBorders>
              <w:top w:val="single" w:color="7AAED6" w:sz="2"/>
              <w:left w:val="single" w:color="7AAED6" w:sz="2"/>
              <w:bottom w:val="single" w:color="7AAED6" w:sz="2"/>
              <w:right w:val="single" w:color="7AAED6" w:sz="2"/>
            </w:tcBorders>
            <w:shd w:fill="FBFCFE" w:val="clear"/>
            <w:tcMar>
              <w:top w:type="dxa" w:w="60"/>
              <w:left w:type="dxa" w:w="140"/>
              <w:bottom w:type="dxa" w:w="60"/>
              <w:right w:type="dxa" w:w="60"/>
            </w:tcMar>
            <w:vAlign w:val="top"/>
          </w:tcPr>
          <w:p>
            <w:pPr>
              <w:jc w:val="left"/>
            </w:pPr>
            <w:r>
              <w:rPr>
                <w:b w:val="false"/>
                <w:bCs w:val="false"/>
                <w:color w:val="000000"/>
                <w:sz w:val="13"/>
                <w:szCs w:val="13"/>
              </w:rPr>
              <w:t xml:space="preserve">9.2.5.6</w:t>
            </w:r>
          </w:p>
        </w:tc>
        <w:tc>
          <w:tcPr>
            <w:tcW w:type="pct" w:w="31.87%"/>
            <w:tcBorders>
              <w:top w:val="single" w:color="7AAED6" w:sz="2"/>
              <w:left w:val="single" w:color="7AAED6" w:sz="2"/>
              <w:bottom w:val="single" w:color="7AAED6" w:sz="2"/>
              <w:right w:val="single" w:color="7AAED6" w:sz="2"/>
            </w:tcBorders>
            <w:shd w:fill="FBFCFE" w:val="clear"/>
            <w:tcMar>
              <w:top w:type="dxa" w:w="60"/>
              <w:left w:type="dxa" w:w="400"/>
              <w:bottom w:type="dxa" w:w="60"/>
              <w:right w:type="dxa" w:w="60"/>
            </w:tcMar>
            <w:vAlign w:val="top"/>
          </w:tcPr>
          <w:p>
            <w:pPr>
              <w:jc w:val="left"/>
            </w:pPr>
            <w:r>
              <w:rPr>
                <w:b w:val="false"/>
                <w:bCs w:val="false"/>
                <w:color w:val="444444"/>
                <w:sz w:val="14"/>
                <w:szCs w:val="14"/>
              </w:rPr>
              <w:t xml:space="preserve">Process related entries</w:t>
            </w:r>
          </w:p>
        </w:tc>
        <w:tc>
          <w:tcPr>
            <w:tcW w:type="pct" w:w="9.96%"/>
            <w:tcBorders>
              <w:top w:val="single" w:color="7AAED6" w:sz="2"/>
              <w:left w:val="single" w:color="7AAED6" w:sz="2"/>
              <w:bottom w:val="single" w:color="7AAED6" w:sz="2"/>
              <w:right w:val="single" w:color="7AAED6" w:sz="2"/>
            </w:tcBorders>
            <w:shd w:fill="DCFCE7" w:val="clear"/>
            <w:vAlign w:val="top"/>
          </w:tcPr>
          <w:p>
            <w:pPr>
              <w:jc w:val="center"/>
            </w:pPr>
            <w:r>
              <w:rPr>
                <w:b/>
                <w:bCs/>
                <w:color w:val="166534"/>
                <w:sz w:val="11"/>
                <w:szCs w:val="11"/>
              </w:rPr>
              <w:t xml:space="preserve">Transaction</w:t>
            </w:r>
          </w:p>
        </w:tc>
        <w:tc>
          <w:tcPr>
            <w:tcW w:type="pct" w:w="14.44%"/>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AP/AR Specialist</w:t>
            </w:r>
          </w:p>
        </w:tc>
        <w:tc>
          <w:tcPr>
            <w:tcW w:type="pct" w:w="14.44%"/>
            <w:tcBorders>
              <w:top w:val="single" w:color="7AAED6" w:sz="2"/>
              <w:left w:val="single" w:color="7AAED6" w:sz="2"/>
              <w:bottom w:val="single" w:color="7AAED6" w:sz="2"/>
              <w:right w:val="single" w:color="7AAED6" w:sz="2"/>
            </w:tcBorders>
            <w:shd w:fill="F5F5F5" w:val="clear"/>
          </w:tcPr>
          <w:p>
            <w:pPr>
              <w:spacing w:after="30"/>
            </w:pPr>
            <w:r>
              <w:rPr>
                <w:i w:val="false"/>
                <w:iCs w:val="false"/>
                <w:color w:val="444444"/>
                <w:sz w:val="14"/>
                <w:szCs w:val="14"/>
              </w:rPr>
              <w:t xml:space="preserve">Director of Accounting</w:t>
            </w:r>
          </w:p>
        </w:tc>
        <w:tc>
          <w:tcPr>
            <w:tcW w:type="pct" w:w="11.95%"/>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Staff Accountant</w:t>
            </w:r>
          </w:p>
        </w:tc>
        <w:tc>
          <w:tcPr>
            <w:tcW w:type="pct" w:w="9.86%"/>
            <w:tcBorders>
              <w:top w:val="single" w:color="7AAED6" w:sz="2"/>
              <w:left w:val="single" w:color="7AAED6" w:sz="2"/>
              <w:bottom w:val="single" w:color="7AAED6" w:sz="2"/>
              <w:right w:val="single" w:color="7AAED6" w:sz="2"/>
            </w:tcBorders>
            <w:shd w:fill="FBFCFE" w:val="clear"/>
          </w:tcPr>
          <w:p>
            <w:pPr>
              <w:spacing w:after="30"/>
            </w:pPr>
            <w:r>
              <w:rPr>
                <w:i w:val="false"/>
                <w:iCs w:val="false"/>
                <w:color w:val="444444"/>
                <w:sz w:val="14"/>
                <w:szCs w:val="14"/>
              </w:rPr>
              <w:t xml:space="preserve">VP Controller</w:t>
            </w:r>
          </w:p>
        </w:tc>
      </w:tr>
    </w:tbl>
    <w:p>
      <w:pPr>
        <w:spacing w:after="100" w:before="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1600"/>
        <w:gridCol w:w="1800"/>
        <w:gridCol w:w="1600"/>
        <w:gridCol w:w="1940"/>
      </w:tblGrid>
      <w:tr>
        <w:tc>
          <w:tcPr>
            <w:tcW w:type="pct" w:w="14.94%"/>
            <w:tcBorders>
              <w:top w:val="none" w:color="FFFFFF" w:sz="0"/>
              <w:left w:val="none" w:color="FFFFFF" w:sz="0"/>
              <w:bottom w:val="none" w:color="FFFFFF" w:sz="0"/>
              <w:right w:val="none" w:color="FFFFFF" w:sz="0"/>
            </w:tcBorders>
          </w:tcPr>
          <w:p>
            <w:r>
              <w:rPr>
                <w:color w:val="1B4F8A"/>
                <w:sz w:val="13"/>
                <w:szCs w:val="13"/>
              </w:rPr>
              <w:t xml:space="preserve">■ </w:t>
            </w:r>
            <w:r>
              <w:rPr>
                <w:color w:val="444444"/>
                <w:sz w:val="13"/>
                <w:szCs w:val="13"/>
              </w:rPr>
              <w:t xml:space="preserve">Decision</w:t>
            </w:r>
          </w:p>
        </w:tc>
        <w:tc>
          <w:tcPr>
            <w:tcW w:type="pct" w:w="15.94%"/>
            <w:tcBorders>
              <w:top w:val="none" w:color="FFFFFF" w:sz="0"/>
              <w:left w:val="none" w:color="FFFFFF" w:sz="0"/>
              <w:bottom w:val="none" w:color="FFFFFF" w:sz="0"/>
              <w:right w:val="none" w:color="FFFFFF" w:sz="0"/>
            </w:tcBorders>
          </w:tcPr>
          <w:p>
            <w:r>
              <w:rPr>
                <w:color w:val="534AB7"/>
                <w:sz w:val="13"/>
                <w:szCs w:val="13"/>
              </w:rPr>
              <w:t xml:space="preserve">■ </w:t>
            </w:r>
            <w:r>
              <w:rPr>
                <w:color w:val="444444"/>
                <w:sz w:val="13"/>
                <w:szCs w:val="13"/>
              </w:rPr>
              <w:t xml:space="preserve">Knowledge</w:t>
            </w:r>
          </w:p>
        </w:tc>
        <w:tc>
          <w:tcPr>
            <w:tcW w:type="pct" w:w="15.94%"/>
            <w:tcBorders>
              <w:top w:val="none" w:color="FFFFFF" w:sz="0"/>
              <w:left w:val="none" w:color="FFFFFF" w:sz="0"/>
              <w:bottom w:val="none" w:color="FFFFFF" w:sz="0"/>
              <w:right w:val="none" w:color="FFFFFF" w:sz="0"/>
            </w:tcBorders>
          </w:tcPr>
          <w:p>
            <w:r>
              <w:rPr>
                <w:color w:val="0369A1"/>
                <w:sz w:val="13"/>
                <w:szCs w:val="13"/>
              </w:rPr>
              <w:t xml:space="preserve">■ </w:t>
            </w:r>
            <w:r>
              <w:rPr>
                <w:color w:val="444444"/>
                <w:sz w:val="13"/>
                <w:szCs w:val="13"/>
              </w:rPr>
              <w:t xml:space="preserve">Document</w:t>
            </w:r>
          </w:p>
        </w:tc>
        <w:tc>
          <w:tcPr>
            <w:tcW w:type="pct" w:w="17.93%"/>
            <w:tcBorders>
              <w:top w:val="none" w:color="FFFFFF" w:sz="0"/>
              <w:left w:val="none" w:color="FFFFFF" w:sz="0"/>
              <w:bottom w:val="none" w:color="FFFFFF" w:sz="0"/>
              <w:right w:val="none" w:color="FFFFFF" w:sz="0"/>
            </w:tcBorders>
          </w:tcPr>
          <w:p>
            <w:r>
              <w:rPr>
                <w:color w:val="166534"/>
                <w:sz w:val="13"/>
                <w:szCs w:val="13"/>
              </w:rPr>
              <w:t xml:space="preserve">■ </w:t>
            </w:r>
            <w:r>
              <w:rPr>
                <w:color w:val="444444"/>
                <w:sz w:val="13"/>
                <w:szCs w:val="13"/>
              </w:rPr>
              <w:t xml:space="preserve">Transaction</w:t>
            </w:r>
          </w:p>
        </w:tc>
        <w:tc>
          <w:tcPr>
            <w:tcW w:type="pct" w:w="15.94%"/>
            <w:tcBorders>
              <w:top w:val="none" w:color="FFFFFF" w:sz="0"/>
              <w:left w:val="none" w:color="FFFFFF" w:sz="0"/>
              <w:bottom w:val="none" w:color="FFFFFF" w:sz="0"/>
              <w:right w:val="none" w:color="FFFFFF" w:sz="0"/>
            </w:tcBorders>
          </w:tcPr>
          <w:p>
            <w:r>
              <w:rPr>
                <w:color w:val="991B1B"/>
                <w:sz w:val="13"/>
                <w:szCs w:val="13"/>
              </w:rPr>
              <w:t xml:space="preserve">■ </w:t>
            </w:r>
            <w:r>
              <w:rPr>
                <w:color w:val="444444"/>
                <w:sz w:val="13"/>
                <w:szCs w:val="13"/>
              </w:rPr>
              <w:t xml:space="preserve">Exception</w:t>
            </w:r>
          </w:p>
        </w:tc>
        <w:tc>
          <w:tcPr>
            <w:tcW w:type="pct" w:w="19.32%"/>
            <w:tcBorders>
              <w:top w:val="none" w:color="FFFFFF" w:sz="0"/>
              <w:left w:val="none" w:color="FFFFFF" w:sz="0"/>
              <w:bottom w:val="none" w:color="FFFFFF" w:sz="0"/>
              <w:right w:val="none" w:color="FFFFFF" w:sz="0"/>
            </w:tcBorders>
          </w:tcPr>
          <w:p/>
        </w:tc>
      </w:tr>
    </w:tbl>
    <w:p>
      <w:pPr>
        <w:spacing w:before="100"/>
      </w:pPr>
      <w:r>
        <w:rPr>
          <w:i/>
          <w:iCs/>
          <w:color w:val="888888"/>
          <w:sz w:val="13"/>
          <w:szCs w:val="13"/>
        </w:rPr>
        <w:t xml:space="preserve">★ A = Accountable · RACI grounded in real APQC L4 activity text · 5 confirmed L3 assignments in this value stream · ©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9.2 — Order-to-Cash — RACI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2026-08-18T22:40:15.416Z</dcterms:created>
  <dcterms:modified xsi:type="dcterms:W3CDTF">2026-08-18T22:40:15.416Z</dcterms:modified>
</cp:coreProperties>
</file>

<file path=docProps/custom.xml><?xml version="1.0" encoding="utf-8"?>
<Properties xmlns="http://schemas.openxmlformats.org/officeDocument/2006/custom-properties" xmlns:vt="http://schemas.openxmlformats.org/officeDocument/2006/docPropsVTypes"/>
</file>