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i w:val="false"/>
          <w:iCs w:val="false"/>
          <w:color w:val="444444"/>
          <w:sz w:val="20"/>
          <w:szCs w:val="20"/>
        </w:rPr>
        <w:t xml:space="preserve">This document defines role accountability for PCF 7.0's Reward-to-Retain value stream (7.5.1–7.5.5). Each L3 process is assigned a single Accountable role, with supporting Responsible, Consulted, and Informed roles, following standard RACI convention. Every assignment is grounded directly in APQC's Process Classification Framework v8.0 activity-level (L4) detail matched against the Organizational Role Taxonomy's documented role responsibilities. No assignment is inferred from process names or titles alone.</w:t>
      </w:r>
    </w:p>
    <w:p>
      <w:pPr>
        <w:spacing w:after="160"/>
      </w:pPr>
      <w:r>
        <w:rPr>
          <w:i w:val="false"/>
          <w:iCs w:val="false"/>
          <w:color w:val="444444"/>
          <w:sz w:val="20"/>
          <w:szCs w:val="20"/>
        </w:rPr>
        <w:t xml:space="preserve">Two L3 processes in this value stream (7.5.3, 7.5.5) required additional judgment beyond APQC and the Organizational Role Taxonomy alone, informed by a published HR operating-model reference describing the separation of strategic HR business-partner work from operational program-delivery roles. One L3 (7.5.4, Administer Payroll) spans a genuine cross-functional boundary between HR and Finance; the Accountable assignment there is scoped specifically to the portion of the process HR owns, with the Finance-owned portion logged as an external participant rather than force-fit into the HR role catalog.</w:t>
      </w:r>
    </w:p>
    <w:p>
      <w:pPr>
        <w:spacing w:after="160"/>
      </w:pPr>
      <w:r>
        <w:rPr>
          <w:i w:val="false"/>
          <w:iCs w:val="false"/>
          <w:color w:val="444444"/>
          <w:sz w:val="20"/>
          <w:szCs w:val="20"/>
        </w:rPr>
        <w:t xml:space="preserve">Every assignment below, including partial-scope accountability and the external-participant designation, was reviewed and confirmed through direct subject-matter review rather than accepted as a first-pass result.</w:t>
      </w:r>
    </w:p>
    <w:p>
      <w:pPr>
        <w:spacing w:after="240"/>
      </w:pPr>
      <w:r>
        <w:rPr>
          <w:i w:val="false"/>
          <w:iCs w:val="false"/>
          <w:color w:val="444444"/>
          <w:sz w:val="20"/>
          <w:szCs w:val="20"/>
        </w:rPr>
        <w:t xml:space="preserve">Value Stream Owner: Compensation &amp; Benefits Manager (Managerial tier), consistent with the accountability tier principle that Value Stream Owner accountability sits at Managerial tier rather than Executive — a value stream aggregates a set of Managerial-scope L3 processes, and Executive involvement at that level is Consulted or Informed oversight rather than direct accountability. Compensation &amp; Benefits Manager is the natural fit here, Accountable for the value stream's largest L3 (7.5.1) and Consulted on a second (7.5.2).</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908"/>
        <w:gridCol w:w="2617"/>
        <w:gridCol w:w="1549"/>
        <w:gridCol w:w="1549"/>
        <w:gridCol w:w="1549"/>
        <w:gridCol w:w="1868"/>
      </w:tblGrid>
      <w:tr>
        <w:trPr>
          <w:tblHeader/>
        </w:trPr>
        <w:tc>
          <w:tcPr>
            <w:tcW w:type="dxa" w:w="908"/>
            <w:shd w:fill="1B4F8A" w:val="clear"/>
            <w:vAlign w:val="center"/>
          </w:tcPr>
          <w:p>
            <w:pPr>
              <w:jc w:val="center"/>
            </w:pPr>
            <w:r>
              <w:rPr>
                <w:b/>
                <w:bCs/>
                <w:color w:val="FFFFFF"/>
                <w:sz w:val="16"/>
                <w:szCs w:val="16"/>
              </w:rPr>
              <w:t xml:space="preserve">PCF</w:t>
            </w:r>
          </w:p>
        </w:tc>
        <w:tc>
          <w:tcPr>
            <w:tcW w:type="dxa" w:w="2617"/>
            <w:shd w:fill="1B4F8A" w:val="clear"/>
            <w:vAlign w:val="center"/>
          </w:tcPr>
          <w:p>
            <w:pPr>
              <w:jc w:val="center"/>
            </w:pPr>
            <w:r>
              <w:rPr>
                <w:b/>
                <w:bCs/>
                <w:color w:val="FFFFFF"/>
                <w:sz w:val="16"/>
                <w:szCs w:val="16"/>
              </w:rPr>
              <w:t xml:space="preserve">L3 Process</w:t>
            </w:r>
          </w:p>
        </w:tc>
        <w:tc>
          <w:tcPr>
            <w:tcW w:type="dxa" w:w="1549"/>
            <w:shd w:fill="1B4F8A" w:val="clear"/>
            <w:vAlign w:val="center"/>
          </w:tcPr>
          <w:p>
            <w:pPr>
              <w:jc w:val="center"/>
            </w:pPr>
            <w:r>
              <w:rPr>
                <w:b/>
                <w:bCs/>
                <w:color w:val="FFFFFF"/>
                <w:sz w:val="16"/>
                <w:szCs w:val="16"/>
              </w:rPr>
              <w:t xml:space="preserve">R — Responsible</w:t>
            </w:r>
          </w:p>
        </w:tc>
        <w:tc>
          <w:tcPr>
            <w:tcW w:type="dxa" w:w="1549"/>
            <w:shd w:fill="1B4F8A" w:val="clear"/>
            <w:vAlign w:val="center"/>
          </w:tcPr>
          <w:p>
            <w:pPr>
              <w:jc w:val="center"/>
            </w:pPr>
            <w:r>
              <w:rPr>
                <w:b/>
                <w:bCs/>
                <w:color w:val="FFFFFF"/>
                <w:sz w:val="16"/>
                <w:szCs w:val="16"/>
              </w:rPr>
              <w:t xml:space="preserve">A — Accountable</w:t>
            </w:r>
          </w:p>
        </w:tc>
        <w:tc>
          <w:tcPr>
            <w:tcW w:type="dxa" w:w="1549"/>
            <w:shd w:fill="1B4F8A" w:val="clear"/>
            <w:vAlign w:val="center"/>
          </w:tcPr>
          <w:p>
            <w:pPr>
              <w:jc w:val="center"/>
            </w:pPr>
            <w:r>
              <w:rPr>
                <w:b/>
                <w:bCs/>
                <w:color w:val="FFFFFF"/>
                <w:sz w:val="16"/>
                <w:szCs w:val="16"/>
              </w:rPr>
              <w:t xml:space="preserve">C — Consulted</w:t>
            </w:r>
          </w:p>
        </w:tc>
        <w:tc>
          <w:tcPr>
            <w:tcW w:type="dxa" w:w="1868"/>
            <w:shd w:fill="1B4F8A" w:val="clear"/>
            <w:vAlign w:val="center"/>
          </w:tcPr>
          <w:p>
            <w:pPr>
              <w:jc w:val="center"/>
            </w:pPr>
            <w:r>
              <w:rPr>
                <w:b/>
                <w:bCs/>
                <w:color w:val="FFFFFF"/>
                <w:sz w:val="16"/>
                <w:szCs w:val="16"/>
              </w:rPr>
              <w:t xml:space="preserve">I — Informed</w:t>
            </w:r>
          </w:p>
        </w:tc>
      </w:tr>
      <w:tr>
        <w:tc>
          <w:tcPr>
            <w:tcW w:type="dxa" w:w="908"/>
            <w:tcBorders>
              <w:top w:val="single" w:color="7AAED6" w:sz="2"/>
              <w:left w:val="single" w:color="7AAED6" w:sz="2"/>
              <w:bottom w:val="single" w:color="7AAED6" w:sz="2"/>
              <w:right w:val="single" w:color="7AAED6" w:sz="2"/>
            </w:tcBorders>
            <w:shd w:fill="FFFFFF" w:val="clear"/>
            <w:vAlign w:val="center"/>
          </w:tcPr>
          <w:p>
            <w:pPr>
              <w:jc w:val="left"/>
            </w:pPr>
            <w:r>
              <w:rPr>
                <w:b/>
                <w:bCs/>
                <w:color w:val="1B4F8A"/>
                <w:sz w:val="17"/>
                <w:szCs w:val="17"/>
              </w:rPr>
              <w:t xml:space="preserve">7.5.1</w:t>
            </w:r>
          </w:p>
        </w:tc>
        <w:tc>
          <w:tcPr>
            <w:tcW w:type="dxa" w:w="2617"/>
            <w:tcBorders>
              <w:top w:val="single" w:color="7AAED6" w:sz="2"/>
              <w:left w:val="single" w:color="7AAED6" w:sz="2"/>
              <w:bottom w:val="single" w:color="7AAED6" w:sz="2"/>
              <w:right w:val="single" w:color="7AAED6" w:sz="2"/>
            </w:tcBorders>
            <w:shd w:fill="FFFFFF" w:val="clear"/>
            <w:vAlign w:val="center"/>
          </w:tcPr>
          <w:p>
            <w:pPr>
              <w:jc w:val="left"/>
            </w:pPr>
            <w:r>
              <w:rPr>
                <w:b/>
                <w:bCs/>
                <w:color w:val="0D2D4F"/>
                <w:sz w:val="17"/>
                <w:szCs w:val="17"/>
              </w:rPr>
              <w:t xml:space="preserve">Develop/Manage Reward, Recognition, Motivation Programs</w:t>
            </w:r>
          </w:p>
        </w:tc>
        <w:tc>
          <w:tcPr>
            <w:tcW w:type="dxa" w:w="1549"/>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Compensation Analyst (admin-tier activities)</w:t>
            </w:r>
          </w:p>
        </w:tc>
        <w:tc>
          <w:tcPr>
            <w:tcW w:type="dxa" w:w="1549"/>
            <w:tcBorders>
              <w:top w:val="single" w:color="7AAED6" w:sz="2"/>
              <w:left w:val="single" w:color="7AAED6" w:sz="2"/>
              <w:bottom w:val="single" w:color="7AAED6" w:sz="2"/>
              <w:right w:val="single" w:color="7AAED6" w:sz="2"/>
            </w:tcBorders>
            <w:shd w:fill="F5F5F5" w:val="clear"/>
            <w:vAlign w:val="center"/>
          </w:tcPr>
          <w:p>
            <w:pPr>
              <w:jc w:val="left"/>
            </w:pPr>
            <w:r>
              <w:rPr>
                <w:b/>
                <w:bCs/>
                <w:color w:val="666666"/>
                <w:sz w:val="16"/>
                <w:szCs w:val="16"/>
              </w:rPr>
              <w:t xml:space="preserve">Compensation &amp; Benefits Manager</w:t>
            </w:r>
          </w:p>
        </w:tc>
        <w:tc>
          <w:tcPr>
            <w:tcW w:type="dxa" w:w="1549"/>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w:t>
            </w:r>
          </w:p>
        </w:tc>
        <w:tc>
          <w:tcPr>
            <w:tcW w:type="dxa" w:w="1868"/>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HRBP Manager</w:t>
            </w:r>
          </w:p>
        </w:tc>
      </w:tr>
      <w:tr>
        <w:tc>
          <w:tcPr>
            <w:tcW w:type="dxa" w:w="908"/>
            <w:tcBorders>
              <w:top w:val="single" w:color="7AAED6" w:sz="2"/>
              <w:left w:val="single" w:color="7AAED6" w:sz="2"/>
              <w:bottom w:val="single" w:color="7AAED6" w:sz="2"/>
              <w:right w:val="single" w:color="7AAED6" w:sz="2"/>
            </w:tcBorders>
            <w:shd w:fill="FFFFFF" w:val="clear"/>
            <w:vAlign w:val="center"/>
          </w:tcPr>
          <w:p>
            <w:pPr>
              <w:jc w:val="left"/>
            </w:pPr>
            <w:r>
              <w:rPr>
                <w:b/>
                <w:bCs/>
                <w:color w:val="1B4F8A"/>
                <w:sz w:val="17"/>
                <w:szCs w:val="17"/>
              </w:rPr>
              <w:t xml:space="preserve">7.5.2</w:t>
            </w:r>
          </w:p>
        </w:tc>
        <w:tc>
          <w:tcPr>
            <w:tcW w:type="dxa" w:w="2617"/>
            <w:tcBorders>
              <w:top w:val="single" w:color="7AAED6" w:sz="2"/>
              <w:left w:val="single" w:color="7AAED6" w:sz="2"/>
              <w:bottom w:val="single" w:color="7AAED6" w:sz="2"/>
              <w:right w:val="single" w:color="7AAED6" w:sz="2"/>
            </w:tcBorders>
            <w:shd w:fill="FFFFFF" w:val="clear"/>
            <w:vAlign w:val="center"/>
          </w:tcPr>
          <w:p>
            <w:pPr>
              <w:jc w:val="left"/>
            </w:pPr>
            <w:r>
              <w:rPr>
                <w:b/>
                <w:bCs/>
                <w:color w:val="0D2D4F"/>
                <w:sz w:val="17"/>
                <w:szCs w:val="17"/>
              </w:rPr>
              <w:t xml:space="preserve">Manage and Administer Benefits</w:t>
            </w:r>
          </w:p>
        </w:tc>
        <w:tc>
          <w:tcPr>
            <w:tcW w:type="dxa" w:w="1549"/>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w:t>
            </w:r>
          </w:p>
        </w:tc>
        <w:tc>
          <w:tcPr>
            <w:tcW w:type="dxa" w:w="1549"/>
            <w:tcBorders>
              <w:top w:val="single" w:color="7AAED6" w:sz="2"/>
              <w:left w:val="single" w:color="7AAED6" w:sz="2"/>
              <w:bottom w:val="single" w:color="7AAED6" w:sz="2"/>
              <w:right w:val="single" w:color="7AAED6" w:sz="2"/>
            </w:tcBorders>
            <w:shd w:fill="F5F5F5" w:val="clear"/>
            <w:vAlign w:val="center"/>
          </w:tcPr>
          <w:p>
            <w:pPr>
              <w:jc w:val="left"/>
            </w:pPr>
            <w:r>
              <w:rPr>
                <w:b/>
                <w:bCs/>
                <w:color w:val="666666"/>
                <w:sz w:val="16"/>
                <w:szCs w:val="16"/>
              </w:rPr>
              <w:t xml:space="preserve">Compensation Analyst</w:t>
            </w:r>
          </w:p>
        </w:tc>
        <w:tc>
          <w:tcPr>
            <w:tcW w:type="dxa" w:w="1549"/>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Compensation &amp; Benefits Manager</w:t>
            </w:r>
          </w:p>
        </w:tc>
        <w:tc>
          <w:tcPr>
            <w:tcW w:type="dxa" w:w="1868"/>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HRIS Analyst</w:t>
            </w:r>
          </w:p>
        </w:tc>
      </w:tr>
      <w:tr>
        <w:tc>
          <w:tcPr>
            <w:tcW w:type="dxa" w:w="908"/>
            <w:tcBorders>
              <w:top w:val="single" w:color="7AAED6" w:sz="2"/>
              <w:left w:val="single" w:color="7AAED6" w:sz="2"/>
              <w:bottom w:val="single" w:color="7AAED6" w:sz="2"/>
              <w:right w:val="single" w:color="7AAED6" w:sz="2"/>
            </w:tcBorders>
            <w:shd w:fill="FFFFFF" w:val="clear"/>
            <w:vAlign w:val="center"/>
          </w:tcPr>
          <w:p>
            <w:pPr>
              <w:jc w:val="left"/>
            </w:pPr>
            <w:r>
              <w:rPr>
                <w:b/>
                <w:bCs/>
                <w:color w:val="1B4F8A"/>
                <w:sz w:val="17"/>
                <w:szCs w:val="17"/>
              </w:rPr>
              <w:t xml:space="preserve">7.5.3</w:t>
            </w:r>
          </w:p>
        </w:tc>
        <w:tc>
          <w:tcPr>
            <w:tcW w:type="dxa" w:w="2617"/>
            <w:tcBorders>
              <w:top w:val="single" w:color="7AAED6" w:sz="2"/>
              <w:left w:val="single" w:color="7AAED6" w:sz="2"/>
              <w:bottom w:val="single" w:color="7AAED6" w:sz="2"/>
              <w:right w:val="single" w:color="7AAED6" w:sz="2"/>
            </w:tcBorders>
            <w:shd w:fill="FFFFFF" w:val="clear"/>
            <w:vAlign w:val="center"/>
          </w:tcPr>
          <w:p>
            <w:pPr>
              <w:jc w:val="left"/>
            </w:pPr>
            <w:r>
              <w:rPr>
                <w:b/>
                <w:bCs/>
                <w:color w:val="0D2D4F"/>
                <w:sz w:val="17"/>
                <w:szCs w:val="17"/>
              </w:rPr>
              <w:t xml:space="preserve">Manage Employee Assistance and Retention</w:t>
            </w:r>
          </w:p>
        </w:tc>
        <w:tc>
          <w:tcPr>
            <w:tcW w:type="dxa" w:w="1549"/>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w:t>
            </w:r>
          </w:p>
        </w:tc>
        <w:tc>
          <w:tcPr>
            <w:tcW w:type="dxa" w:w="1549"/>
            <w:tcBorders>
              <w:top w:val="single" w:color="7AAED6" w:sz="2"/>
              <w:left w:val="single" w:color="7AAED6" w:sz="2"/>
              <w:bottom w:val="single" w:color="7AAED6" w:sz="2"/>
              <w:right w:val="single" w:color="7AAED6" w:sz="2"/>
            </w:tcBorders>
            <w:shd w:fill="F5F5F5" w:val="clear"/>
            <w:vAlign w:val="center"/>
          </w:tcPr>
          <w:p>
            <w:pPr>
              <w:jc w:val="left"/>
            </w:pPr>
            <w:r>
              <w:rPr>
                <w:b/>
                <w:bCs/>
                <w:color w:val="666666"/>
                <w:sz w:val="16"/>
                <w:szCs w:val="16"/>
              </w:rPr>
              <w:t xml:space="preserve">HR Generalist</w:t>
            </w:r>
          </w:p>
        </w:tc>
        <w:tc>
          <w:tcPr>
            <w:tcW w:type="dxa" w:w="1549"/>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HRBP Manager</w:t>
            </w:r>
          </w:p>
        </w:tc>
        <w:tc>
          <w:tcPr>
            <w:tcW w:type="dxa" w:w="1868"/>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Director of HR Ops</w:t>
            </w:r>
          </w:p>
        </w:tc>
      </w:tr>
      <w:tr>
        <w:tc>
          <w:tcPr>
            <w:tcW w:type="dxa" w:w="908"/>
            <w:tcBorders>
              <w:top w:val="single" w:color="7AAED6" w:sz="2"/>
              <w:left w:val="single" w:color="7AAED6" w:sz="2"/>
              <w:bottom w:val="single" w:color="7AAED6" w:sz="2"/>
              <w:right w:val="single" w:color="7AAED6" w:sz="2"/>
            </w:tcBorders>
            <w:shd w:fill="FFFFFF" w:val="clear"/>
            <w:vAlign w:val="center"/>
          </w:tcPr>
          <w:p>
            <w:pPr>
              <w:jc w:val="left"/>
            </w:pPr>
            <w:r>
              <w:rPr>
                <w:b/>
                <w:bCs/>
                <w:color w:val="1B4F8A"/>
                <w:sz w:val="17"/>
                <w:szCs w:val="17"/>
              </w:rPr>
              <w:t xml:space="preserve">7.5.4</w:t>
            </w:r>
          </w:p>
        </w:tc>
        <w:tc>
          <w:tcPr>
            <w:tcW w:type="dxa" w:w="2617"/>
            <w:tcBorders>
              <w:top w:val="single" w:color="7AAED6" w:sz="2"/>
              <w:left w:val="single" w:color="7AAED6" w:sz="2"/>
              <w:bottom w:val="single" w:color="7AAED6" w:sz="2"/>
              <w:right w:val="single" w:color="7AAED6" w:sz="2"/>
            </w:tcBorders>
            <w:shd w:fill="FFFFFF" w:val="clear"/>
            <w:vAlign w:val="center"/>
          </w:tcPr>
          <w:p>
            <w:pPr>
              <w:jc w:val="left"/>
            </w:pPr>
            <w:r>
              <w:rPr>
                <w:b/>
                <w:bCs/>
                <w:color w:val="0D2D4F"/>
                <w:sz w:val="17"/>
                <w:szCs w:val="17"/>
              </w:rPr>
              <w:t xml:space="preserve">Administer Payroll</w:t>
            </w:r>
          </w:p>
        </w:tc>
        <w:tc>
          <w:tcPr>
            <w:tcW w:type="dxa" w:w="1549"/>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w:t>
            </w:r>
          </w:p>
        </w:tc>
        <w:tc>
          <w:tcPr>
            <w:tcW w:type="dxa" w:w="1549"/>
            <w:tcBorders>
              <w:top w:val="single" w:color="7AAED6" w:sz="2"/>
              <w:left w:val="single" w:color="7AAED6" w:sz="2"/>
              <w:bottom w:val="single" w:color="7AAED6" w:sz="2"/>
              <w:right w:val="single" w:color="7AAED6" w:sz="2"/>
            </w:tcBorders>
            <w:shd w:fill="F5F5F5" w:val="clear"/>
            <w:vAlign w:val="center"/>
          </w:tcPr>
          <w:p>
            <w:pPr>
              <w:jc w:val="left"/>
            </w:pPr>
            <w:r>
              <w:rPr>
                <w:b/>
                <w:bCs/>
                <w:color w:val="666666"/>
                <w:sz w:val="16"/>
                <w:szCs w:val="16"/>
              </w:rPr>
              <w:t xml:space="preserve">HRIS Analyst (HR-owned scope)</w:t>
            </w:r>
          </w:p>
        </w:tc>
        <w:tc>
          <w:tcPr>
            <w:tcW w:type="dxa" w:w="1549"/>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Compensation Analyst</w:t>
            </w:r>
          </w:p>
        </w:tc>
        <w:tc>
          <w:tcPr>
            <w:tcW w:type="dxa" w:w="1868"/>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Finance*</w:t>
            </w:r>
          </w:p>
        </w:tc>
      </w:tr>
      <w:tr>
        <w:tc>
          <w:tcPr>
            <w:tcW w:type="dxa" w:w="908"/>
            <w:tcBorders>
              <w:top w:val="single" w:color="7AAED6" w:sz="2"/>
              <w:left w:val="single" w:color="7AAED6" w:sz="2"/>
              <w:bottom w:val="single" w:color="7AAED6" w:sz="2"/>
              <w:right w:val="single" w:color="7AAED6" w:sz="2"/>
            </w:tcBorders>
            <w:shd w:fill="FFFFFF" w:val="clear"/>
            <w:vAlign w:val="center"/>
          </w:tcPr>
          <w:p>
            <w:pPr>
              <w:jc w:val="left"/>
            </w:pPr>
            <w:r>
              <w:rPr>
                <w:b/>
                <w:bCs/>
                <w:color w:val="1B4F8A"/>
                <w:sz w:val="17"/>
                <w:szCs w:val="17"/>
              </w:rPr>
              <w:t xml:space="preserve">7.5.5</w:t>
            </w:r>
          </w:p>
        </w:tc>
        <w:tc>
          <w:tcPr>
            <w:tcW w:type="dxa" w:w="2617"/>
            <w:tcBorders>
              <w:top w:val="single" w:color="7AAED6" w:sz="2"/>
              <w:left w:val="single" w:color="7AAED6" w:sz="2"/>
              <w:bottom w:val="single" w:color="7AAED6" w:sz="2"/>
              <w:right w:val="single" w:color="7AAED6" w:sz="2"/>
            </w:tcBorders>
            <w:shd w:fill="FFFFFF" w:val="clear"/>
            <w:vAlign w:val="center"/>
          </w:tcPr>
          <w:p>
            <w:pPr>
              <w:jc w:val="left"/>
            </w:pPr>
            <w:r>
              <w:rPr>
                <w:b/>
                <w:bCs/>
                <w:color w:val="0D2D4F"/>
                <w:sz w:val="17"/>
                <w:szCs w:val="17"/>
              </w:rPr>
              <w:t xml:space="preserve">Manage/Collect Employee Suggestions and Research</w:t>
            </w:r>
          </w:p>
        </w:tc>
        <w:tc>
          <w:tcPr>
            <w:tcW w:type="dxa" w:w="1549"/>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HRIS Analyst (data/survey tooling)</w:t>
            </w:r>
          </w:p>
        </w:tc>
        <w:tc>
          <w:tcPr>
            <w:tcW w:type="dxa" w:w="1549"/>
            <w:tcBorders>
              <w:top w:val="single" w:color="7AAED6" w:sz="2"/>
              <w:left w:val="single" w:color="7AAED6" w:sz="2"/>
              <w:bottom w:val="single" w:color="7AAED6" w:sz="2"/>
              <w:right w:val="single" w:color="7AAED6" w:sz="2"/>
            </w:tcBorders>
            <w:shd w:fill="F5F5F5" w:val="clear"/>
            <w:vAlign w:val="center"/>
          </w:tcPr>
          <w:p>
            <w:pPr>
              <w:jc w:val="left"/>
            </w:pPr>
            <w:r>
              <w:rPr>
                <w:b/>
                <w:bCs/>
                <w:color w:val="666666"/>
                <w:sz w:val="16"/>
                <w:szCs w:val="16"/>
              </w:rPr>
              <w:t xml:space="preserve">HR Generalist</w:t>
            </w:r>
          </w:p>
        </w:tc>
        <w:tc>
          <w:tcPr>
            <w:tcW w:type="dxa" w:w="1549"/>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w:t>
            </w:r>
          </w:p>
        </w:tc>
        <w:tc>
          <w:tcPr>
            <w:tcW w:type="dxa" w:w="1868"/>
            <w:tcBorders>
              <w:top w:val="single" w:color="7AAED6" w:sz="2"/>
              <w:left w:val="single" w:color="7AAED6" w:sz="2"/>
              <w:bottom w:val="single" w:color="7AAED6" w:sz="2"/>
              <w:right w:val="single" w:color="7AAED6" w:sz="2"/>
            </w:tcBorders>
            <w:shd w:fill="FFFFFF" w:val="clear"/>
            <w:vAlign w:val="center"/>
          </w:tcPr>
          <w:p>
            <w:pPr>
              <w:jc w:val="left"/>
            </w:pPr>
            <w:r>
              <w:rPr>
                <w:b w:val="false"/>
                <w:bCs w:val="false"/>
                <w:color w:val="444444"/>
                <w:sz w:val="16"/>
                <w:szCs w:val="16"/>
              </w:rPr>
              <w:t xml:space="preserve">HRBP Manager</w:t>
            </w:r>
          </w:p>
        </w:tc>
      </w:tr>
    </w:tbl>
    <w:p>
      <w:pPr>
        <w:spacing w:after="160" w:before="120"/>
      </w:pPr>
      <w:r>
        <w:rPr>
          <w:i/>
          <w:iCs/>
          <w:color w:val="888888"/>
          <w:sz w:val="16"/>
          <w:szCs w:val="16"/>
        </w:rPr>
        <w:t xml:space="preserve">*Finance owns the payroll run and payroll accounting portions of Administer Payroll, outside HR's accountability scope for this L3. Logged as an external participant, consistent with the treatment of Hiring Managers and Managers in prior value streams.</w:t>
      </w:r>
    </w:p>
    <w:p>
      <w:pPr>
        <w:pStyle w:val="Heading2"/>
        <w:pageBreakBefore/>
        <w:spacing w:after="100" w:before="0"/>
      </w:pPr>
      <w:r>
        <w:rPr>
          <w:b/>
          <w:bCs/>
          <w:color w:val="0D2D4F"/>
          <w:sz w:val="22"/>
          <w:szCs w:val="22"/>
        </w:rPr>
        <w:t xml:space="preserve">Accountable Assignment — Reasoning</w:t>
      </w:r>
    </w:p>
    <w:p>
      <w:pPr>
        <w:spacing w:after="20" w:before="140"/>
      </w:pPr>
      <w:r>
        <w:rPr>
          <w:rFonts w:ascii="Courier New" w:cs="Courier New" w:eastAsia="Courier New" w:hAnsi="Courier New"/>
          <w:b/>
          <w:bCs/>
          <w:color w:val="1B4F8A"/>
          <w:sz w:val="18"/>
          <w:szCs w:val="18"/>
        </w:rPr>
        <w:t xml:space="preserve">7.5.1  </w:t>
      </w:r>
      <w:r>
        <w:rPr>
          <w:b/>
          <w:bCs/>
          <w:color w:val="0D2D4F"/>
          <w:sz w:val="19"/>
          <w:szCs w:val="19"/>
        </w:rPr>
        <w:t xml:space="preserve">Develop/Manage Reward, Recognition, Motivation Programs</w:t>
      </w:r>
    </w:p>
    <w:p>
      <w:pPr>
        <w:spacing w:after="20"/>
      </w:pPr>
      <w:r>
        <w:rPr>
          <w:color w:val="444444"/>
          <w:sz w:val="20"/>
          <w:szCs w:val="20"/>
        </w:rPr>
        <w:t xml:space="preserve">Nine L4 activities span program design (develop salary/compensation structure, develop benefits/rewards plan, competitive analysis), administration (identify compensation requirements, administer compensation/rewards), and a recurring review cadence (review engagement/retention indicators, review compensation plan, review benefits/rewards plan) — all within Compensation &amp; Benefits Manager's functional domain. Accountable sits at Managerial tier rather than Executive, since this is program design and administration within a functional area, not organization-wide HR strategy formation. Responsible is split to Compensation Analyst for the administration-tier activities (identify requirements, administer compensation and rewards), with Compensation &amp; Benefits Manager retaining the design and review-tier work directly.</w:t>
      </w:r>
    </w:p>
    <w:p>
      <w:pPr>
        <w:spacing w:after="20" w:before="140"/>
      </w:pPr>
      <w:r>
        <w:rPr>
          <w:rFonts w:ascii="Courier New" w:cs="Courier New" w:eastAsia="Courier New" w:hAnsi="Courier New"/>
          <w:b/>
          <w:bCs/>
          <w:color w:val="1B4F8A"/>
          <w:sz w:val="18"/>
          <w:szCs w:val="18"/>
        </w:rPr>
        <w:t xml:space="preserve">7.5.2  </w:t>
      </w:r>
      <w:r>
        <w:rPr>
          <w:b/>
          <w:bCs/>
          <w:color w:val="0D2D4F"/>
          <w:sz w:val="19"/>
          <w:szCs w:val="19"/>
        </w:rPr>
        <w:t xml:space="preserve">Manage and Administer Benefits</w:t>
      </w:r>
    </w:p>
    <w:p>
      <w:pPr>
        <w:spacing w:after="20"/>
      </w:pPr>
      <w:r>
        <w:rPr>
          <w:color w:val="444444"/>
          <w:sz w:val="20"/>
          <w:szCs w:val="20"/>
        </w:rPr>
        <w:t xml:space="preserve">All four L4 activities (deliver benefits program, administer enrollment, process claims, perform benefit reconciliation) are pure operational execution with no design content mixed in — the cleanest single-role match in this value stream. Accountable is Compensation Analyst at Operational tier; no split is needed.</w:t>
      </w:r>
    </w:p>
    <w:p>
      <w:pPr>
        <w:spacing w:after="20" w:before="140"/>
      </w:pPr>
      <w:r>
        <w:rPr>
          <w:rFonts w:ascii="Courier New" w:cs="Courier New" w:eastAsia="Courier New" w:hAnsi="Courier New"/>
          <w:b/>
          <w:bCs/>
          <w:color w:val="1B4F8A"/>
          <w:sz w:val="18"/>
          <w:szCs w:val="18"/>
        </w:rPr>
        <w:t xml:space="preserve">7.5.3  </w:t>
      </w:r>
      <w:r>
        <w:rPr>
          <w:b/>
          <w:bCs/>
          <w:color w:val="0D2D4F"/>
          <w:sz w:val="19"/>
          <w:szCs w:val="19"/>
        </w:rPr>
        <w:t xml:space="preserve">Manage Employee Assistance and Retention</w:t>
      </w:r>
    </w:p>
    <w:p>
      <w:pPr>
        <w:spacing w:after="20"/>
      </w:pPr>
      <w:r>
        <w:rPr>
          <w:color w:val="444444"/>
          <w:sz w:val="20"/>
          <w:szCs w:val="20"/>
        </w:rPr>
        <w:t xml:space="preserve">Two L4 activities (deliver work/life balance programs, develop employee and family support systems) are day-to-day program delivery rather than strategic design. Accountable is HR Generalist, consistent with the pattern of separating strategic HR business-partner work from operational program delivery — HR Business Partner Manager is Consulted rather than Accountable, since its role here is oversight of a delivery function rather than ownership of the delivery itself. Worth noting: this L3's own description text references “reviewing retention and motivation indicators” and “reviewing compensation plans,” but those are actually 7.5.1's L4 activities (7.5.1.7–7.5.1.9), not this L3's. This assignment is grounded only in 7.5.3's actual two L4 children.</w:t>
      </w:r>
    </w:p>
    <w:p>
      <w:pPr>
        <w:spacing w:after="20" w:before="140"/>
      </w:pPr>
      <w:r>
        <w:rPr>
          <w:rFonts w:ascii="Courier New" w:cs="Courier New" w:eastAsia="Courier New" w:hAnsi="Courier New"/>
          <w:b/>
          <w:bCs/>
          <w:color w:val="1B4F8A"/>
          <w:sz w:val="18"/>
          <w:szCs w:val="18"/>
        </w:rPr>
        <w:t xml:space="preserve">7.5.4  </w:t>
      </w:r>
      <w:r>
        <w:rPr>
          <w:b/>
          <w:bCs/>
          <w:color w:val="0D2D4F"/>
          <w:sz w:val="19"/>
          <w:szCs w:val="19"/>
        </w:rPr>
        <w:t xml:space="preserve">Administer Payroll</w:t>
      </w:r>
    </w:p>
    <w:p>
      <w:pPr>
        <w:spacing w:after="20"/>
      </w:pPr>
      <w:r>
        <w:rPr>
          <w:color w:val="444444"/>
          <w:sz w:val="20"/>
          <w:szCs w:val="20"/>
        </w:rPr>
        <w:t xml:space="preserve">Single leaf L3 with no L4 children. Its description spans two distinct functional scopes: HR-owned data (personnel records, vacation/PTO accrual, DEI compliance data) and Finance-owned execution (the payroll run itself, payroll accounting). Accountable is HRIS Analyst, scoped specifically to the HR-owned portion — personnel data integrity and the HR-maintained records that feed payroll, not the payroll run itself. The payroll run and payroll accounting are logged as owned by Finance, an external participant to the HR role catalog rather than a gap within it. This is the first L3 in this framework where the Accountable role's ownership is partial by design — a genuine cross-functional boundary between HR and Finance, not a limitation of the role catalog.</w:t>
      </w:r>
    </w:p>
    <w:p>
      <w:pPr>
        <w:spacing w:after="20" w:before="140"/>
      </w:pPr>
      <w:r>
        <w:rPr>
          <w:rFonts w:ascii="Courier New" w:cs="Courier New" w:eastAsia="Courier New" w:hAnsi="Courier New"/>
          <w:b/>
          <w:bCs/>
          <w:color w:val="1B4F8A"/>
          <w:sz w:val="18"/>
          <w:szCs w:val="18"/>
        </w:rPr>
        <w:t xml:space="preserve">7.5.5  </w:t>
      </w:r>
      <w:r>
        <w:rPr>
          <w:b/>
          <w:bCs/>
          <w:color w:val="0D2D4F"/>
          <w:sz w:val="19"/>
          <w:szCs w:val="19"/>
        </w:rPr>
        <w:t xml:space="preserve">Manage/Collect Employee Suggestions and Research</w:t>
      </w:r>
    </w:p>
    <w:p>
      <w:pPr>
        <w:spacing w:after="20"/>
      </w:pPr>
      <w:r>
        <w:rPr>
          <w:color w:val="444444"/>
          <w:sz w:val="20"/>
          <w:szCs w:val="20"/>
        </w:rPr>
        <w:t xml:space="preserve">Single leaf L3 with no L4 children. Its description covers employee suggestion program administration and research methods (surveys, focus groups) to gather organizational attitudes and opinions. Accountable is HR Generalist, who owns the overall program administration; HRIS Analyst is Responsible for the data and survey-tooling side specifically, since that is the closest functional match in the catalog to an analytics-oriented execution role for this kind of work.</w:t>
      </w:r>
    </w:p>
    <w:p>
      <w:pPr>
        <w:pStyle w:val="Heading2"/>
        <w:spacing w:after="100" w:before="260"/>
      </w:pPr>
      <w:r>
        <w:rPr>
          <w:b/>
          <w:bCs/>
          <w:color w:val="0D2D4F"/>
          <w:sz w:val="22"/>
          <w:szCs w:val="22"/>
        </w:rPr>
        <w:t xml:space="preserve">Cross-Cutting Pattern</w:t>
      </w:r>
    </w:p>
    <w:p>
      <w:pPr>
        <w:spacing w:after="200"/>
      </w:pPr>
      <w:r>
        <w:rPr>
          <w:i w:val="false"/>
          <w:iCs w:val="false"/>
          <w:color w:val="444444"/>
          <w:sz w:val="20"/>
          <w:szCs w:val="20"/>
        </w:rPr>
        <w:t xml:space="preserve">Reward-to-Retain's five L3 processes are entirely Managerial and Operational in accountability — no Executive-tier ownership appears anywhere in this value stream, consistent with its nature as compensation, benefits, and employee-support program delivery rather than organization-wide strategy formation. This value stream also introduces two new patterns not seen in prior value streams: an Accountable role whose ownership is explicitly partial by functional-boundary design (7.5.4, HR/Finance), and a role assignment informed by a published operating-model reference beyond APQC and the Taxonomy (7.5.3, 7.5.5).</w:t>
      </w:r>
    </w:p>
    <w:p>
      <w:pPr>
        <w:pStyle w:val="Heading2"/>
        <w:spacing w:after="100" w:before="260"/>
      </w:pPr>
      <w:r>
        <w:rPr>
          <w:b/>
          <w:bCs/>
          <w:color w:val="0D2D4F"/>
          <w:sz w:val="22"/>
          <w:szCs w:val="22"/>
        </w:rPr>
        <w:t xml:space="preserve">Scope and Methodology Notes</w:t>
      </w:r>
    </w:p>
    <w:p>
      <w:pPr>
        <w:spacing w:after="200"/>
      </w:pPr>
      <w:r>
        <w:rPr>
          <w:i w:val="false"/>
          <w:iCs w:val="false"/>
          <w:color w:val="444444"/>
          <w:sz w:val="20"/>
          <w:szCs w:val="20"/>
        </w:rPr>
        <w:t xml:space="preserve">Every assignment in this document is grounded in real APQC L4 activity text rather than in process names alone. Two L3 processes (7.5.3, 7.5.5) were informed by a published HR operating-model reference beyond APQC and the Organizational Role Taxonomy. One L3 (7.5.4) reflects a genuine cross-functional accountability boundary between HR and Finance rather than a gap in the role catalog. All five assignments were confirmed through direct subject-matter review rather than accepted as a first-pass result. This same methodology will be applied to the remaining PCF 7.0 value stream and future domains.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6"/>
        <w:szCs w:val="16"/>
      </w:rPr>
      <w:t xml:space="preserve">The Human-AI Partnership Framework</w:t>
    </w:r>
  </w:p>
  <w:p>
    <w:pPr>
      <w:spacing w:after="20"/>
    </w:pPr>
    <w:r>
      <w:rPr>
        <w:b/>
        <w:bCs/>
        <w:color w:val="0D2D4F"/>
        <w:sz w:val="24"/>
        <w:szCs w:val="24"/>
      </w:rPr>
      <w:t xml:space="preserve">PCF 7.0 — Reward-to-Retain Value Stream</w:t>
    </w:r>
  </w:p>
  <w:p>
    <w:pPr>
      <w:spacing w:after="100"/>
    </w:pPr>
    <w:r>
      <w:rPr>
        <w:i/>
        <w:iCs/>
        <w:color w:val="888888"/>
        <w:sz w:val="16"/>
        <w:szCs w:val="16"/>
      </w:rPr>
      <w:t xml:space="preserve">Role Assignment RACI — Reasoned-Match Methodology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2026-07-17T20:46:26.558Z</dcterms:created>
  <dcterms:modified xsi:type="dcterms:W3CDTF">2026-07-17T20:46:26.574Z</dcterms:modified>
</cp:coreProperties>
</file>

<file path=docProps/custom.xml><?xml version="1.0" encoding="utf-8"?>
<Properties xmlns="http://schemas.openxmlformats.org/officeDocument/2006/custom-properties" xmlns:vt="http://schemas.openxmlformats.org/officeDocument/2006/docPropsVTypes"/>
</file>