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Data-to-Insight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8.4 — Information &amp; analytics strategy, architecture &amp; lifecycle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one APQC PCF process group: 8.4 Manage Information — spanning 4 Level 3 processes and 14 Level 4 activities.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6 Transaction activities (rules-based processing suited to automation), 5 Knowledge activities (judgment, synthesis, and interpretation-driven work), 2 Decision activities (judgment-and-authority gates that stay human by design), and 1 Document activity (content generation). No Exception-pattern activity exists within this value stream.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50%, down from a 73% undesigned baseline — a 23-point AI convergence opportunity.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4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14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73%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50%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-23%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Information management cost ratio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% of IT operating costs (excl. depreciation/amortization) dedicated to Manage Enterprise Information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Data Quality Score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Data assets passing defined quality-dimension checks (accuracy, completeness, consistency, timeliness, validity, uniqueness) ÷ total assets assessed, by domain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DAMA-DMBOK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Data stewardship coverage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Critical data assets with a documented, assigned owner or steward ÷ total critical data assets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DAMA-DMBOK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Data-to-Insight follows the same apex pattern as IT Vision-to-Strategy and Risk-to-Resilience: 8.4.1 (Define business information and analytics strategy) is Chief Data Officer's own strategy-formation L3, while Director of Data &amp; Analytics holds Accountable for the remaining 3 L3s — information architecture (8.4.2), lifecycle planning and control (8.4.3), and ongoing information management (8.4.4). Data Engineer carries Responsible across all 4 L3s without ever holding Accountable, the cleanest single-role execution lane of any PCF 8.0 value stream. This is also the only value stream where Enterprise Architect appears solely as Consulted rather than Accountable anywhere — information architecture here is Director of Data &amp; Analytics' domain, with Enterprise Architect's involvement scoped to alignment with the broader enterprise architecture rather than ownership. Its steepest AI-absorption opportunity sits in 8.4.3.1 (Define and maintain enterprise information policies, standards, and procedures, Document-pattern, -32 points).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2 L4 activities</w:t>
            </w:r>
          </w:p>
          <w:p>
            <w:pPr>
              <w:spacing w:before="40"/>
            </w:pPr>
            <w:r>
              <w:rPr>
                <w:color w:val="1B4F8A"/>
                <w:sz w:val="12"/>
                <w:szCs w:val="12"/>
              </w:rPr>
              <w:t xml:space="preserve">M1 92%  →  M3 80%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5 L4 activities</w:t>
            </w:r>
          </w:p>
          <w:p>
            <w:pPr>
              <w:spacing w:before="40"/>
            </w:pPr>
            <w:r>
              <w:rPr>
                <w:color w:val="534AB7"/>
                <w:sz w:val="12"/>
                <w:szCs w:val="12"/>
              </w:rPr>
              <w:t xml:space="preserve">M1 85%  →  M3 65%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0369A1"/>
                <w:sz w:val="12"/>
                <w:szCs w:val="12"/>
              </w:rPr>
              <w:t xml:space="preserve">M1 72%  →  M3 40%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6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991B1B"/>
                <w:sz w:val="11"/>
                <w:szCs w:val="11"/>
              </w:rPr>
              <w:t xml:space="preserve">No activities of this pattern in this value stream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Chief Data Officer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2"/>
                <w:szCs w:val="12"/>
              </w:rPr>
              <w:t xml:space="preserve">Executive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8.4.1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Director of Data &amp; Analytics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8.4.2, 8.4.3, 8.4.4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11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The stream opens with Chief Data Officer-accountable strategy formation (8.4.1), then hands to Director of Data &amp; Analytics for the remaining three L3s: information architecture (8.4.2), lifecycle planning and control (8.4.3), and ongoing information management (8.4.4).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Data Engineer carries Responsible across all four L3s, the cleanest single-execution-role lane in PCF 8.0 — the handoff from Director of Data &amp; Analytics to Data Engineer is consistent throughout rather than shifting by L3.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pPr>
        <w:spacing w:after="100"/>
      </w:pPr>
      <w:r>
        <w:rPr>
          <w:color w:val="888888"/>
          <w:sz w:val="14"/>
          <w:szCs w:val="14"/>
        </w:rPr>
        <w:t xml:space="preserve">Every Decision/Exception-pattern activity in the value stream, including those embedded inside Mixed-labeled steps.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400"/>
        <w:gridCol w:w="1900"/>
        <w:gridCol w:w="1460"/>
        <w:gridCol w:w="2600"/>
      </w:tblGrid>
      <w:tr>
        <w:trPr>
          <w:tblHeader/>
        </w:trPr>
        <w:tc>
          <w:tcPr>
            <w:tcW w:type="pct" w:w="7.77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Decision</w:t>
            </w:r>
          </w:p>
        </w:tc>
        <w:tc>
          <w:tcPr>
            <w:tcW w:type="pct" w:w="13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Authority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Impact</w:t>
            </w:r>
          </w:p>
        </w:tc>
        <w:tc>
          <w:tcPr>
            <w:tcW w:type="pct" w:w="14.5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Escalates To</w:t>
            </w:r>
          </w:p>
        </w:tc>
        <w:tc>
          <w:tcPr>
            <w:tcW w:type="pct" w:w="25.9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Trigger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8.4.1.1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Establish data, information, and analytic objectives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Chief Data Officer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Strategic — sets direction for the domain's information/analytics agenda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CEO / Board (outside the IT role catalog)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Objectives require enterprise-level budget commitment or conflict with board-approved data strategy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8.4.2.4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Establish data ownership and stewardship responsibilities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Director of Data &amp; Analytics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Operational + Governance — assigns accountability for data domains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Chief Data Officer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Ownership assignment spans multiple business units or is contested between data domains</w:t>
            </w:r>
          </w:p>
        </w:tc>
      </w:tr>
    </w:tbl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2026 · developed with the assistance of Claude (Anthropic)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8.4 — Data-to-Insight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2026-08-09T12:47:32.887Z</dcterms:created>
  <dcterms:modified xsi:type="dcterms:W3CDTF">2026-08-09T12:47:32.887Z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