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Global Trade &amp; Currency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9.10–9.11 — International funds, currency exposure &amp; trade compliance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two APQC PCF process groups: 9.10 Manage International Funds/Consolidation and 9.11 Perform Global Trade Services — spanning 14 Level 3 processes, the most of any PCF 9.0 value stream, though neither group decomposes into Level 4 activities in the underlying APQC taxonomy, so each L3 stands as its own single activity unit.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7 Transaction activities, 4 Document activities, 2 Knowledge activities, and 1 Exception activity.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44%, down from a 70% undesigned baseline — a 26-point AI convergence opportunity, the steepest in PCF 9.0.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44%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-26%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Sanctioned-party screening accuracy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customer/vendor transactions screened against denied-party lists with zero false-clear rate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GARP (Global Association of Risk Professionals)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Customs entry accuracy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customs declarations filed without a post-entry correction or penalty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FX exposure hedge coverage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identified material currency exposure covered by an active hedge position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AFP (Association for Financial Professionals)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Global Trade &amp; Currency spans two APQC process groups — 9.10 Manage International Funds/Consolidation and 9.11 Perform Global Trade Services — and is PCF 9.0's most fragmented value stream by accountability: no single role holds a majority of its 14 L3s. VP Treasury carries the largest single share at 4 of 14 (international rate monitoring, transaction management, currency-exposure hedging, and letter-of-credit preparation), but Trade Compliance — an external, no-catalog role rather than one of the domain's 14 named roles — is Accountable or Responsible across nearly the entire 9.11 group, the same kind of specialist-role gap PCF 7.0 documented for International HR Management in Global Mobility. This value stream classifies Enablement rather than Operational or Strategy because trade compliance, customs, and currency-risk work is cross-cutting protective infrastructure supporting every other stream's cross-border transactions, not a value chain in its own right — the same reasoning that places PCF 8.0's Risk-to-Resilience in Enablement despite Executive-tier accountable ownership. Its steepest AI-absorption opportunity sits in 9.10.4 (Report results,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4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7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VP Treasury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9.10.1, 9.10.2, 9.10.3, 9.11.10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Accounting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9.10.4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Trade Compliance*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666666"/>
                <w:sz w:val="12"/>
                <w:szCs w:val="12"/>
              </w:rPr>
              <w:t xml:space="preserve">External Participant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9.11.1, 9.11.2, 9.11.3, 9.11.6, 9.11.7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Treasury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9.11.4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Tax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9.11.5, 9.11.8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Internal Audit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9.11.9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Global Trade &amp; Currency runs two largely parallel lanes rather than a single linear flow: VP Treasury's international funds/currency lane (9.10) and Trade Compliance's customs/export-control lane (9.11).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VP Treasury's lane opens with rate monitoring and transaction management (9.10.1, 9.10.2), runs through currency-exposure hedging (9.10.3), and closes with consolidated results reporting (9.10.4) — feeding directly into Record-to-Report's consolidated financial statements.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Trade Compliance's lane runs sanctioned-party screening through customs documentation and duty calculation (9.11.1–9.11.8), with Internal Audit Manager and Tax Manager stepping in only for restitution handling (9.11.9) — the lane's one Exception-pattern activity — and for duty/trade-preference calculation, the two points where the external Trade Compliance role hands off to a named Finance role.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9.11.9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Handle restitution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Internal Audit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+ Compliance — resolves a customs/trade-compliance violation requiring restitution to a regulatory authority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CFO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Restitution amount exceeds Internal Audit Manager's standing authority or involves a regulatory enforcement action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9.10–9.11 — Global Trade &amp; Currency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2026-08-18T22:40:18.320Z</dcterms:created>
  <dcterms:modified xsi:type="dcterms:W3CDTF">2026-08-18T22:40:18.320Z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