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40"/>
      </w:tblGrid>
      <w:tr>
        <w:tc>
          <w:tcPr>
            <w:tcW w:type="pct" w:w="100%"/>
            <w:tcBorders>
              <w:top w:val="none" w:color="FFFFFF" w:sz="0"/>
              <w:left w:val="none" w:color="FFFFFF" w:sz="0"/>
              <w:bottom w:val="none" w:color="FFFFFF" w:sz="0"/>
              <w:right w:val="none" w:color="FFFFFF" w:sz="0"/>
            </w:tcBorders>
            <w:shd w:fill="0D2D4F" w:val="clear"/>
            <w:tcMar>
              <w:top w:type="dxa" w:w="220"/>
              <w:left w:type="dxa" w:w="200"/>
              <w:bottom w:type="dxa" w:w="200"/>
              <w:right w:type="dxa" w:w="200"/>
            </w:tcMar>
          </w:tcPr>
          <w:p>
            <w:pPr>
              <w:spacing w:after="60"/>
              <w:jc w:val="center"/>
            </w:pPr>
            <w:r>
              <w:rPr>
                <w:rFonts w:ascii="Georgia" w:cs="Georgia" w:eastAsia="Georgia" w:hAnsi="Georgia"/>
                <w:b/>
                <w:bCs/>
                <w:color w:val="FFFFFF"/>
                <w:sz w:val="28"/>
                <w:szCs w:val="28"/>
              </w:rPr>
              <w:t xml:space="preserve">The Human-AI Partnership Framework</w:t>
            </w:r>
          </w:p>
          <w:p>
            <w:pPr>
              <w:jc w:val="center"/>
            </w:pPr>
            <w:r>
              <w:rPr>
                <w:i/>
                <w:iCs/>
                <w:color w:val="9FC2EE"/>
                <w:sz w:val="16"/>
                <w:szCs w:val="16"/>
              </w:rPr>
              <w:t xml:space="preserve">Where human judgment belongs</w:t>
            </w:r>
          </w:p>
        </w:tc>
      </w:tr>
    </w:tbl>
    <w:p>
      <w:pPr>
        <w:spacing w:after="40" w:before="220"/>
      </w:pPr>
      <w:r>
        <w:rPr>
          <w:rFonts w:ascii="Georgia" w:cs="Georgia" w:eastAsia="Georgia" w:hAnsi="Georgia"/>
          <w:b/>
          <w:bCs/>
          <w:color w:val="0D2D4F"/>
          <w:sz w:val="30"/>
          <w:szCs w:val="30"/>
        </w:rPr>
        <w:t xml:space="preserve">HR Vision-to-Strategy</w:t>
      </w:r>
    </w:p>
    <w:p>
      <w:pPr>
        <w:spacing w:after="200"/>
      </w:pPr>
      <w:r>
        <w:rPr>
          <w:i/>
          <w:iCs/>
          <w:color w:val="888888"/>
          <w:sz w:val="17"/>
          <w:szCs w:val="17"/>
        </w:rPr>
        <w:t xml:space="preserve">PCF 7.1 — Set HR direction &amp; workforce strategy — Value Stream Profile</w:t>
      </w:r>
    </w:p>
    <w:p>
      <w:pPr>
        <w:spacing w:after="120"/>
      </w:pPr>
      <w:r>
        <w:rPr>
          <w:color w:val="444444"/>
          <w:sz w:val="18"/>
          <w:szCs w:val="18"/>
        </w:rPr>
        <w:t xml:space="preserve">This value stream comprises one APQC PCF process group: 7.1 Develop and Manage HR Planning, Policies, and Strategies — spanning 4 Level 3 processes and 31 Level 4 activities.</w:t>
      </w:r>
    </w:p>
    <w:p>
      <w:pPr>
        <w:spacing w:after="120"/>
      </w:pPr>
      <w:r>
        <w:rPr>
          <w:color w:val="444444"/>
          <w:sz w:val="18"/>
          <w:szCs w:val="18"/>
        </w:rPr>
        <w:t xml:space="preserve">At the activity level, this value stream's work breaks down as 23 Knowledge activities (judgment, synthesis, and interpretation-driven work), 4 Document activities (content generation), and 4 Transaction activities (rules-based processing suited to automation). No Decision- or Exception-pattern activity exists within this value stream.</w:t>
      </w:r>
    </w:p>
    <w:p>
      <w:pPr>
        <w:spacing w:after="200"/>
      </w:pPr>
      <w:r>
        <w:rPr>
          <w:color w:val="444444"/>
          <w:sz w:val="18"/>
          <w:szCs w:val="18"/>
        </w:rPr>
        <w:t xml:space="preserve">At M3 (HITL Design Intent), the value stream's aggregate human-involvement ratio is 58%, down from an 80% undesigned baseline — a 22-point AI convergence opportunity.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8"/>
        <w:gridCol w:w="2008"/>
        <w:gridCol w:w="2008"/>
        <w:gridCol w:w="2008"/>
        <w:gridCol w:w="2008"/>
      </w:tblGrid>
      <w:tr>
        <w:tc>
          <w:tcPr>
            <w:tcW w:type="pct" w:w="20%"/>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2"/>
                <w:szCs w:val="12"/>
              </w:rPr>
              <w:t xml:space="preserve">L3 PROCESSES</w:t>
            </w:r>
          </w:p>
          <w:p>
            <w:r>
              <w:rPr>
                <w:b/>
                <w:bCs/>
                <w:color w:val="1B4F8A"/>
                <w:sz w:val="22"/>
                <w:szCs w:val="22"/>
              </w:rPr>
              <w:t xml:space="preserve">4</w:t>
            </w:r>
          </w:p>
        </w:tc>
        <w:tc>
          <w:tcPr>
            <w:tcW w:type="pct" w:w="20%"/>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2"/>
                <w:szCs w:val="12"/>
              </w:rPr>
              <w:t xml:space="preserve">L4 ACTIVITIES</w:t>
            </w:r>
          </w:p>
          <w:p>
            <w:r>
              <w:rPr>
                <w:b/>
                <w:bCs/>
                <w:color w:val="1B4F8A"/>
                <w:sz w:val="22"/>
                <w:szCs w:val="22"/>
              </w:rPr>
              <w:t xml:space="preserve">31</w:t>
            </w:r>
          </w:p>
        </w:tc>
        <w:tc>
          <w:tcPr>
            <w:tcW w:type="pct" w:w="20%"/>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2"/>
                <w:szCs w:val="12"/>
              </w:rPr>
              <w:t xml:space="preserve">M1 BASELINE H%</w:t>
            </w:r>
          </w:p>
          <w:p>
            <w:r>
              <w:rPr>
                <w:b/>
                <w:bCs/>
                <w:color w:val="1B4F8A"/>
                <w:sz w:val="22"/>
                <w:szCs w:val="22"/>
              </w:rPr>
              <w:t xml:space="preserve">80%</w:t>
            </w:r>
          </w:p>
        </w:tc>
        <w:tc>
          <w:tcPr>
            <w:tcW w:type="pct" w:w="20%"/>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2"/>
                <w:szCs w:val="12"/>
              </w:rPr>
              <w:t xml:space="preserve">M3 DESIGN INTENT H%</w:t>
            </w:r>
          </w:p>
          <w:p>
            <w:r>
              <w:rPr>
                <w:b/>
                <w:bCs/>
                <w:color w:val="1B4F8A"/>
                <w:sz w:val="22"/>
                <w:szCs w:val="22"/>
              </w:rPr>
              <w:t xml:space="preserve">58%</w:t>
            </w:r>
          </w:p>
        </w:tc>
        <w:tc>
          <w:tcPr>
            <w:tcW w:type="pct" w:w="20%"/>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2"/>
                <w:szCs w:val="12"/>
              </w:rPr>
              <w:t xml:space="preserve">Δ M1 → M3</w:t>
            </w:r>
          </w:p>
          <w:p>
            <w:r>
              <w:rPr>
                <w:b/>
                <w:bCs/>
                <w:color w:val="1B4F8A"/>
                <w:sz w:val="22"/>
                <w:szCs w:val="22"/>
              </w:rPr>
              <w:t xml:space="preserve">-22%</w:t>
            </w:r>
          </w:p>
        </w:tc>
      </w:tr>
    </w:tbl>
    <w:p>
      <w:pPr>
        <w:spacing w:after="40" w:before="260"/>
      </w:pPr>
      <w:r>
        <w:rPr>
          <w:b/>
          <w:bCs/>
          <w:color w:val="0D2D4F"/>
          <w:sz w:val="19"/>
          <w:szCs w:val="19"/>
        </w:rPr>
        <w:t xml:space="preserve">KPIs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530"/>
        <w:gridCol w:w="2510"/>
      </w:tblGrid>
      <w:tr>
        <w:trPr>
          <w:tblHeader/>
        </w:trPr>
        <w:tc>
          <w:tcPr>
            <w:tcW w:type="pct" w:w="75%"/>
            <w:shd w:fill="1B4F8A" w:val="clear"/>
            <w:tcMar>
              <w:top w:type="dxa" w:w="60"/>
              <w:left w:type="dxa" w:w="140"/>
              <w:bottom w:type="dxa" w:w="60"/>
              <w:right w:type="dxa" w:w="60"/>
            </w:tcMar>
            <w:vAlign w:val="bottom"/>
          </w:tcPr>
          <w:p>
            <w:pPr>
              <w:jc w:val="left"/>
            </w:pPr>
            <w:r>
              <w:rPr>
                <w:b/>
                <w:bCs/>
                <w:color w:val="FFFFFF"/>
                <w:sz w:val="11"/>
                <w:szCs w:val="11"/>
              </w:rPr>
              <w:t xml:space="preserve">Business Impact Metric &amp; Formula (where confirmed)</w:t>
            </w:r>
          </w:p>
        </w:tc>
        <w:tc>
          <w:tcPr>
            <w:tcW w:type="pct" w:w="25%"/>
            <w:shd w:fill="1B4F8A" w:val="clear"/>
            <w:tcMar>
              <w:top w:type="dxa" w:w="60"/>
              <w:left w:type="dxa" w:w="140"/>
              <w:bottom w:type="dxa" w:w="60"/>
              <w:right w:type="dxa" w:w="60"/>
            </w:tcMar>
            <w:vAlign w:val="bottom"/>
          </w:tcPr>
          <w:p>
            <w:pPr>
              <w:jc w:val="left"/>
            </w:pPr>
            <w:r>
              <w:rPr>
                <w:b/>
                <w:bCs/>
                <w:color w:val="FFFFFF"/>
                <w:sz w:val="11"/>
                <w:szCs w:val="11"/>
              </w:rPr>
              <w:t xml:space="preserve">Source</w:t>
            </w:r>
          </w:p>
        </w:tc>
      </w:tr>
      <w:tr>
        <w:tc>
          <w:tcPr>
            <w:tcW w:type="pct" w:w="75%"/>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pPr>
              <w:spacing w:after="40"/>
            </w:pPr>
            <w:r>
              <w:rPr>
                <w:b/>
                <w:bCs/>
                <w:color w:val="444444"/>
                <w:sz w:val="15"/>
                <w:szCs w:val="15"/>
              </w:rPr>
              <w:t xml:space="preserve">Workforce plan accuracy</w:t>
            </w:r>
          </w:p>
          <w:p>
            <w:r>
              <w:rPr>
                <w:i/>
                <w:iCs/>
                <w:color w:val="888888"/>
                <w:sz w:val="13"/>
                <w:szCs w:val="13"/>
              </w:rPr>
              <w:t xml:space="preserve">1 − |Actual headcount − Planned headcount| ÷ Planned headcount, measured at each planning-cycle close</w:t>
            </w:r>
          </w:p>
        </w:tc>
        <w:tc>
          <w:tcPr>
            <w:tcW w:type="pct" w:w="25%"/>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888888"/>
                <w:sz w:val="14"/>
                <w:szCs w:val="14"/>
              </w:rPr>
              <w:t xml:space="preserve">—</w:t>
            </w:r>
          </w:p>
        </w:tc>
      </w:tr>
      <w:tr>
        <w:tc>
          <w:tcPr>
            <w:tcW w:type="pct" w:w="75%"/>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pPr>
              <w:spacing w:after="40"/>
            </w:pPr>
            <w:r>
              <w:rPr>
                <w:b/>
                <w:bCs/>
                <w:color w:val="444444"/>
                <w:sz w:val="15"/>
                <w:szCs w:val="15"/>
              </w:rPr>
              <w:t xml:space="preserve">HR strategy-to-execution lag</w:t>
            </w:r>
          </w:p>
          <w:p>
            <w:r>
              <w:rPr>
                <w:i/>
                <w:iCs/>
                <w:color w:val="888888"/>
                <w:sz w:val="13"/>
                <w:szCs w:val="13"/>
              </w:rPr>
              <w:t xml:space="preserve">Time from HR strategy/policy approval (7.1.1–7.1.3) to operational rollout across affected value streams</w:t>
            </w:r>
          </w:p>
        </w:tc>
        <w:tc>
          <w:tcPr>
            <w:tcW w:type="pct" w:w="25%"/>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888888"/>
                <w:sz w:val="14"/>
                <w:szCs w:val="14"/>
              </w:rPr>
              <w:t xml:space="preserve">—</w:t>
            </w:r>
          </w:p>
        </w:tc>
      </w:tr>
      <w:tr>
        <w:tc>
          <w:tcPr>
            <w:tcW w:type="pct" w:w="75%"/>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pPr>
              <w:spacing w:after="40"/>
            </w:pPr>
            <w:r>
              <w:rPr>
                <w:b/>
                <w:bCs/>
                <w:color w:val="444444"/>
                <w:sz w:val="15"/>
                <w:szCs w:val="15"/>
              </w:rPr>
              <w:t xml:space="preserve">Competency model coverage</w:t>
            </w:r>
          </w:p>
          <w:p>
            <w:r>
              <w:rPr>
                <w:i/>
                <w:iCs/>
                <w:color w:val="888888"/>
                <w:sz w:val="13"/>
                <w:szCs w:val="13"/>
              </w:rPr>
              <w:t xml:space="preserve">Roles mapped to an approved competency model ÷ Total roles in scope</w:t>
            </w:r>
          </w:p>
        </w:tc>
        <w:tc>
          <w:tcPr>
            <w:tcW w:type="pct" w:w="25%"/>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888888"/>
                <w:sz w:val="14"/>
                <w:szCs w:val="14"/>
              </w:rPr>
              <w:t xml:space="preserve">—</w:t>
            </w:r>
          </w:p>
        </w:tc>
      </w:tr>
      <w:tr>
        <w:tc>
          <w:tcPr>
            <w:tcW w:type="pct" w:w="75%"/>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pPr>
              <w:spacing w:after="40"/>
            </w:pPr>
            <w:r>
              <w:rPr>
                <w:b/>
                <w:bCs/>
                <w:color w:val="444444"/>
                <w:sz w:val="15"/>
                <w:szCs w:val="15"/>
              </w:rPr>
              <w:t xml:space="preserve">Policy currency</w:t>
            </w:r>
          </w:p>
          <w:p>
            <w:r>
              <w:rPr>
                <w:i/>
                <w:iCs/>
                <w:color w:val="888888"/>
                <w:sz w:val="13"/>
                <w:szCs w:val="13"/>
              </w:rPr>
              <w:t xml:space="preserve">HR policies reviewed within their scheduled review cycle ÷ Total active HR policies</w:t>
            </w:r>
          </w:p>
        </w:tc>
        <w:tc>
          <w:tcPr>
            <w:tcW w:type="pct" w:w="25%"/>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888888"/>
                <w:sz w:val="14"/>
                <w:szCs w:val="14"/>
              </w:rPr>
              <w:t xml:space="preserve">—</w:t>
            </w:r>
          </w:p>
        </w:tc>
      </w:tr>
    </w:tbl>
    <w:p>
      <w:pPr>
        <w:spacing w:after="40" w:before="260"/>
      </w:pPr>
      <w:r>
        <w:rPr>
          <w:b/>
          <w:bCs/>
          <w:color w:val="0D2D4F"/>
          <w:sz w:val="19"/>
          <w:szCs w:val="19"/>
        </w:rPr>
        <w:t xml:space="preserve">Design Narrative</w:t>
      </w:r>
    </w:p>
    <w:p>
      <w:pPr>
        <w:spacing w:after="160"/>
      </w:pPr>
      <w:r>
        <w:rPr>
          <w:color w:val="444444"/>
          <w:sz w:val="18"/>
          <w:szCs w:val="18"/>
        </w:rPr>
        <w:t xml:space="preserve">HR Vision-to-Strategy is the framework's only Executive-tier value stream in PCF 7.0: 7.1.1 (Develop human resources strategy) is the domain's single Executive-Accountable L3, with CHRO holding formal Accountability while HRBP Manager and Director of HR Ops carry the Responsible drafting work. Director of HR Ops then holds Accountable for translating that strategy into workforce planning and keeping it current (7.1.2, 7.1.3), while Director of L&amp;D owns competency model design (7.1.4) as an adjacent step. Every other PCF 7.0 value stream operates downstream of this one — its outputs (approved strategy, workforce plans, policies, competency models) are the direct inputs the operational and enablement streams execute against. Its steepest AI-absorption opportunities cluster in Document-pattern content — 7.1.1.7 (communicating HR strategy) and 7.1.2.16 (maintaining job descriptions) both sit at -32 points.</w:t>
      </w:r>
    </w:p>
    <w:p>
      <w:pPr>
        <w:spacing w:after="40" w:before="260"/>
      </w:pPr>
      <w:r>
        <w:rPr>
          <w:b/>
          <w:bCs/>
          <w:color w:val="0D2D4F"/>
          <w:sz w:val="19"/>
          <w:szCs w:val="19"/>
        </w:rPr>
        <w:t xml:space="preserve">AI Capability Map</w:t>
      </w:r>
    </w:p>
    <w:p>
      <w:pPr>
        <w:spacing w:after="120"/>
      </w:pPr>
      <w:r>
        <w:rPr>
          <w:color w:val="888888"/>
          <w:sz w:val="14"/>
          <w:szCs w:val="14"/>
        </w:rPr>
        <w:t xml:space="preserve">Pattern-type distribution across this value stream's activity units. H% figures are the pattern type's standard value at each maturity level, applied consistently across all PCF domains.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28"/>
        <w:gridCol w:w="100"/>
        <w:gridCol w:w="1928"/>
        <w:gridCol w:w="100"/>
        <w:gridCol w:w="1928"/>
        <w:gridCol w:w="100"/>
        <w:gridCol w:w="1928"/>
        <w:gridCol w:w="100"/>
        <w:gridCol w:w="1928"/>
      </w:tblGrid>
      <w:tr>
        <w:tc>
          <w:tcPr>
            <w:tcW w:type="pct" w:w="19.2%"/>
            <w:tcBorders>
              <w:top w:val="none" w:color="FFFFFF" w:sz="0"/>
              <w:left w:val="none" w:color="FFFFFF" w:sz="0"/>
              <w:bottom w:val="none" w:color="FFFFFF" w:sz="0"/>
              <w:right w:val="none" w:color="FFFFFF" w:sz="0"/>
            </w:tcBorders>
            <w:shd w:fill="EEF3FA" w:val="clear"/>
            <w:tcMar>
              <w:top w:type="dxa" w:w="140"/>
              <w:left w:type="dxa" w:w="120"/>
              <w:bottom w:type="dxa" w:w="140"/>
              <w:right w:type="dxa" w:w="120"/>
            </w:tcMar>
          </w:tcPr>
          <w:p>
            <w:r>
              <w:rPr>
                <w:b/>
                <w:bCs/>
                <w:color w:val="1B4F8A"/>
                <w:sz w:val="15"/>
                <w:szCs w:val="15"/>
              </w:rPr>
              <w:t xml:space="preserve">Decision</w:t>
            </w:r>
          </w:p>
          <w:p>
            <w:pPr>
              <w:spacing w:before="30"/>
            </w:pPr>
            <w:r>
              <w:rPr>
                <w:i/>
                <w:iCs/>
                <w:color w:val="1B4F8A"/>
                <w:sz w:val="10"/>
                <w:szCs w:val="10"/>
              </w:rPr>
              <w:t xml:space="preserve">Judgment &amp; Authority — gates that stay human by design</w:t>
            </w:r>
          </w:p>
          <w:p>
            <w:pPr>
              <w:spacing w:before="60"/>
            </w:pPr>
            <w:r>
              <w:rPr>
                <w:b/>
                <w:bCs/>
                <w:color w:val="1B4F8A"/>
                <w:sz w:val="15"/>
                <w:szCs w:val="15"/>
              </w:rPr>
              <w:t xml:space="preserve">0 L4 activities</w:t>
            </w:r>
          </w:p>
          <w:p>
            <w:pPr>
              <w:spacing w:before="40"/>
            </w:pPr>
            <w:r>
              <w:rPr>
                <w:i/>
                <w:iCs/>
                <w:color w:val="1B4F8A"/>
                <w:sz w:val="11"/>
                <w:szCs w:val="11"/>
              </w:rPr>
              <w:t xml:space="preserve">No activities of this pattern in this value stream</w:t>
            </w:r>
          </w:p>
        </w:tc>
        <w:tc>
          <w:tcPr>
            <w:tcW w:type="pct" w:w="1%"/>
            <w:tcBorders>
              <w:top w:val="none" w:color="FFFFFF" w:sz="0"/>
              <w:left w:val="none" w:color="FFFFFF" w:sz="0"/>
              <w:bottom w:val="none" w:color="FFFFFF" w:sz="0"/>
              <w:right w:val="none" w:color="FFFFFF" w:sz="0"/>
            </w:tcBorders>
          </w:tcPr>
          <w:p/>
        </w:tc>
        <w:tc>
          <w:tcPr>
            <w:tcW w:type="pct" w:w="19.2%"/>
            <w:tcBorders>
              <w:top w:val="none" w:color="FFFFFF" w:sz="0"/>
              <w:left w:val="none" w:color="FFFFFF" w:sz="0"/>
              <w:bottom w:val="none" w:color="FFFFFF" w:sz="0"/>
              <w:right w:val="none" w:color="FFFFFF" w:sz="0"/>
            </w:tcBorders>
            <w:shd w:fill="F3F0FE" w:val="clear"/>
            <w:tcMar>
              <w:top w:type="dxa" w:w="140"/>
              <w:left w:type="dxa" w:w="120"/>
              <w:bottom w:type="dxa" w:w="140"/>
              <w:right w:type="dxa" w:w="120"/>
            </w:tcMar>
          </w:tcPr>
          <w:p>
            <w:r>
              <w:rPr>
                <w:b/>
                <w:bCs/>
                <w:color w:val="534AB7"/>
                <w:sz w:val="15"/>
                <w:szCs w:val="15"/>
              </w:rPr>
              <w:t xml:space="preserve">Knowledge</w:t>
            </w:r>
          </w:p>
          <w:p>
            <w:pPr>
              <w:spacing w:before="30"/>
            </w:pPr>
            <w:r>
              <w:rPr>
                <w:i/>
                <w:iCs/>
                <w:color w:val="534AB7"/>
                <w:sz w:val="10"/>
                <w:szCs w:val="10"/>
              </w:rPr>
              <w:t xml:space="preserve">Synthesis &amp; Interpretation — judgment-driven work</w:t>
            </w:r>
          </w:p>
          <w:p>
            <w:pPr>
              <w:spacing w:before="60"/>
            </w:pPr>
            <w:r>
              <w:rPr>
                <w:b/>
                <w:bCs/>
                <w:color w:val="534AB7"/>
                <w:sz w:val="15"/>
                <w:szCs w:val="15"/>
              </w:rPr>
              <w:t xml:space="preserve">23 L4 activities</w:t>
            </w:r>
          </w:p>
          <w:p>
            <w:pPr>
              <w:spacing w:before="40"/>
            </w:pPr>
            <w:r>
              <w:rPr>
                <w:color w:val="534AB7"/>
                <w:sz w:val="12"/>
                <w:szCs w:val="12"/>
              </w:rPr>
              <w:t xml:space="preserve">M1 85%  →  M3 65%</w:t>
            </w:r>
          </w:p>
        </w:tc>
        <w:tc>
          <w:tcPr>
            <w:tcW w:type="pct" w:w="1%"/>
            <w:tcBorders>
              <w:top w:val="none" w:color="FFFFFF" w:sz="0"/>
              <w:left w:val="none" w:color="FFFFFF" w:sz="0"/>
              <w:bottom w:val="none" w:color="FFFFFF" w:sz="0"/>
              <w:right w:val="none" w:color="FFFFFF" w:sz="0"/>
            </w:tcBorders>
          </w:tcPr>
          <w:p/>
        </w:tc>
        <w:tc>
          <w:tcPr>
            <w:tcW w:type="pct" w:w="19.2%"/>
            <w:tcBorders>
              <w:top w:val="none" w:color="FFFFFF" w:sz="0"/>
              <w:left w:val="none" w:color="FFFFFF" w:sz="0"/>
              <w:bottom w:val="none" w:color="FFFFFF" w:sz="0"/>
              <w:right w:val="none" w:color="FFFFFF" w:sz="0"/>
            </w:tcBorders>
            <w:shd w:fill="E0F2FE" w:val="clear"/>
            <w:tcMar>
              <w:top w:type="dxa" w:w="140"/>
              <w:left w:type="dxa" w:w="120"/>
              <w:bottom w:type="dxa" w:w="140"/>
              <w:right w:type="dxa" w:w="120"/>
            </w:tcMar>
          </w:tcPr>
          <w:p>
            <w:r>
              <w:rPr>
                <w:b/>
                <w:bCs/>
                <w:color w:val="0369A1"/>
                <w:sz w:val="15"/>
                <w:szCs w:val="15"/>
              </w:rPr>
              <w:t xml:space="preserve">Document</w:t>
            </w:r>
          </w:p>
          <w:p>
            <w:pPr>
              <w:spacing w:before="30"/>
            </w:pPr>
            <w:r>
              <w:rPr>
                <w:i/>
                <w:iCs/>
                <w:color w:val="0369A1"/>
                <w:sz w:val="10"/>
                <w:szCs w:val="10"/>
              </w:rPr>
              <w:t xml:space="preserve">Content Generation — drafting and communication</w:t>
            </w:r>
          </w:p>
          <w:p>
            <w:pPr>
              <w:spacing w:before="60"/>
            </w:pPr>
            <w:r>
              <w:rPr>
                <w:b/>
                <w:bCs/>
                <w:color w:val="0369A1"/>
                <w:sz w:val="15"/>
                <w:szCs w:val="15"/>
              </w:rPr>
              <w:t xml:space="preserve">4 L4 activities</w:t>
            </w:r>
          </w:p>
          <w:p>
            <w:pPr>
              <w:spacing w:before="40"/>
            </w:pPr>
            <w:r>
              <w:rPr>
                <w:color w:val="0369A1"/>
                <w:sz w:val="12"/>
                <w:szCs w:val="12"/>
              </w:rPr>
              <w:t xml:space="preserve">M1 72%  →  M3 40%</w:t>
            </w:r>
          </w:p>
        </w:tc>
        <w:tc>
          <w:tcPr>
            <w:tcW w:type="pct" w:w="1%"/>
            <w:tcBorders>
              <w:top w:val="none" w:color="FFFFFF" w:sz="0"/>
              <w:left w:val="none" w:color="FFFFFF" w:sz="0"/>
              <w:bottom w:val="none" w:color="FFFFFF" w:sz="0"/>
              <w:right w:val="none" w:color="FFFFFF" w:sz="0"/>
            </w:tcBorders>
          </w:tcPr>
          <w:p/>
        </w:tc>
        <w:tc>
          <w:tcPr>
            <w:tcW w:type="pct" w:w="19.2%"/>
            <w:tcBorders>
              <w:top w:val="none" w:color="FFFFFF" w:sz="0"/>
              <w:left w:val="none" w:color="FFFFFF" w:sz="0"/>
              <w:bottom w:val="none" w:color="FFFFFF" w:sz="0"/>
              <w:right w:val="none" w:color="FFFFFF" w:sz="0"/>
            </w:tcBorders>
            <w:shd w:fill="DCFCE7" w:val="clear"/>
            <w:tcMar>
              <w:top w:type="dxa" w:w="140"/>
              <w:left w:type="dxa" w:w="120"/>
              <w:bottom w:type="dxa" w:w="140"/>
              <w:right w:type="dxa" w:w="120"/>
            </w:tcMar>
          </w:tcPr>
          <w:p>
            <w:r>
              <w:rPr>
                <w:b/>
                <w:bCs/>
                <w:color w:val="166534"/>
                <w:sz w:val="15"/>
                <w:szCs w:val="15"/>
              </w:rPr>
              <w:t xml:space="preserve">Transaction</w:t>
            </w:r>
          </w:p>
          <w:p>
            <w:pPr>
              <w:spacing w:before="30"/>
            </w:pPr>
            <w:r>
              <w:rPr>
                <w:i/>
                <w:iCs/>
                <w:color w:val="166534"/>
                <w:sz w:val="10"/>
                <w:szCs w:val="10"/>
              </w:rPr>
              <w:t xml:space="preserve">Rules-Based Processing — suited to automation</w:t>
            </w:r>
          </w:p>
          <w:p>
            <w:pPr>
              <w:spacing w:before="60"/>
            </w:pPr>
            <w:r>
              <w:rPr>
                <w:b/>
                <w:bCs/>
                <w:color w:val="166534"/>
                <w:sz w:val="15"/>
                <w:szCs w:val="15"/>
              </w:rPr>
              <w:t xml:space="preserve">4 L4 activities</w:t>
            </w:r>
          </w:p>
          <w:p>
            <w:pPr>
              <w:spacing w:before="40"/>
            </w:pPr>
            <w:r>
              <w:rPr>
                <w:color w:val="166534"/>
                <w:sz w:val="12"/>
                <w:szCs w:val="12"/>
              </w:rPr>
              <w:t xml:space="preserve">M1 60%  →  M3 35%</w:t>
            </w:r>
          </w:p>
        </w:tc>
        <w:tc>
          <w:tcPr>
            <w:tcW w:type="pct" w:w="1%"/>
            <w:tcBorders>
              <w:top w:val="none" w:color="FFFFFF" w:sz="0"/>
              <w:left w:val="none" w:color="FFFFFF" w:sz="0"/>
              <w:bottom w:val="none" w:color="FFFFFF" w:sz="0"/>
              <w:right w:val="none" w:color="FFFFFF" w:sz="0"/>
            </w:tcBorders>
          </w:tcPr>
          <w:p/>
        </w:tc>
        <w:tc>
          <w:tcPr>
            <w:tcW w:type="pct" w:w="19.2%"/>
            <w:tcBorders>
              <w:top w:val="none" w:color="FFFFFF" w:sz="0"/>
              <w:left w:val="none" w:color="FFFFFF" w:sz="0"/>
              <w:bottom w:val="none" w:color="FFFFFF" w:sz="0"/>
              <w:right w:val="none" w:color="FFFFFF" w:sz="0"/>
            </w:tcBorders>
            <w:shd w:fill="FEE2E2" w:val="clear"/>
            <w:tcMar>
              <w:top w:type="dxa" w:w="140"/>
              <w:left w:type="dxa" w:w="120"/>
              <w:bottom w:type="dxa" w:w="140"/>
              <w:right w:type="dxa" w:w="120"/>
            </w:tcMar>
          </w:tcPr>
          <w:p>
            <w:r>
              <w:rPr>
                <w:b/>
                <w:bCs/>
                <w:color w:val="991B1B"/>
                <w:sz w:val="15"/>
                <w:szCs w:val="15"/>
              </w:rPr>
              <w:t xml:space="preserve">Exception</w:t>
            </w:r>
          </w:p>
          <w:p>
            <w:pPr>
              <w:spacing w:before="30"/>
            </w:pPr>
            <w:r>
              <w:rPr>
                <w:i/>
                <w:iCs/>
                <w:color w:val="991B1B"/>
                <w:sz w:val="10"/>
                <w:szCs w:val="10"/>
              </w:rPr>
              <w:t xml:space="preserve">Non-Standard Resolution — human-resolved by nature</w:t>
            </w:r>
          </w:p>
          <w:p>
            <w:pPr>
              <w:spacing w:before="60"/>
            </w:pPr>
            <w:r>
              <w:rPr>
                <w:b/>
                <w:bCs/>
                <w:color w:val="991B1B"/>
                <w:sz w:val="15"/>
                <w:szCs w:val="15"/>
              </w:rPr>
              <w:t xml:space="preserve">0 L4 activities</w:t>
            </w:r>
          </w:p>
          <w:p>
            <w:pPr>
              <w:spacing w:before="40"/>
            </w:pPr>
            <w:r>
              <w:rPr>
                <w:i/>
                <w:iCs/>
                <w:color w:val="991B1B"/>
                <w:sz w:val="11"/>
                <w:szCs w:val="11"/>
              </w:rPr>
              <w:t xml:space="preserve">No activities of this pattern in this value stream</w:t>
            </w:r>
          </w:p>
        </w:tc>
      </w:tr>
    </w:tbl>
    <w:p>
      <w:pPr>
        <w:spacing w:after="40" w:before="260"/>
      </w:pPr>
      <w:r>
        <w:rPr>
          <w:b/>
          <w:bCs/>
          <w:color w:val="0D2D4F"/>
          <w:sz w:val="19"/>
          <w:szCs w:val="19"/>
        </w:rPr>
        <w:t xml:space="preserve">Process Accountability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3540"/>
        <w:gridCol w:w="2000"/>
      </w:tblGrid>
      <w:tr>
        <w:trPr>
          <w:tblHeader/>
        </w:trPr>
        <w:tc>
          <w:tcPr>
            <w:tcW w:type="pct" w:w="28.88%"/>
            <w:shd w:fill="1B4F8A" w:val="clear"/>
            <w:tcMar>
              <w:top w:type="dxa" w:w="60"/>
              <w:left w:type="dxa" w:w="140"/>
              <w:bottom w:type="dxa" w:w="60"/>
              <w:right w:type="dxa" w:w="60"/>
            </w:tcMar>
            <w:vAlign w:val="bottom"/>
          </w:tcPr>
          <w:p>
            <w:pPr>
              <w:jc w:val="left"/>
            </w:pPr>
            <w:r>
              <w:rPr>
                <w:b/>
                <w:bCs/>
                <w:color w:val="FFFFFF"/>
                <w:sz w:val="11"/>
                <w:szCs w:val="11"/>
              </w:rPr>
              <w:t xml:space="preserve">Process Accountability</w:t>
            </w:r>
          </w:p>
        </w:tc>
        <w:tc>
          <w:tcPr>
            <w:tcW w:type="pct" w:w="15.94%"/>
            <w:shd w:fill="1B4F8A" w:val="clear"/>
            <w:tcMar>
              <w:top w:type="dxa" w:w="60"/>
              <w:left w:type="dxa" w:w="140"/>
              <w:bottom w:type="dxa" w:w="60"/>
              <w:right w:type="dxa" w:w="60"/>
            </w:tcMar>
            <w:vAlign w:val="bottom"/>
          </w:tcPr>
          <w:p>
            <w:pPr>
              <w:jc w:val="center"/>
            </w:pPr>
            <w:r>
              <w:rPr>
                <w:b/>
                <w:bCs/>
                <w:color w:val="FFFFFF"/>
                <w:sz w:val="11"/>
                <w:szCs w:val="11"/>
              </w:rPr>
              <w:t xml:space="preserve">Tier</w:t>
            </w:r>
          </w:p>
        </w:tc>
        <w:tc>
          <w:tcPr>
            <w:tcW w:type="pct" w:w="35.26%"/>
            <w:shd w:fill="1B4F8A" w:val="clear"/>
            <w:tcMar>
              <w:top w:type="dxa" w:w="60"/>
              <w:left w:type="dxa" w:w="140"/>
              <w:bottom w:type="dxa" w:w="60"/>
              <w:right w:type="dxa" w:w="60"/>
            </w:tcMar>
            <w:vAlign w:val="bottom"/>
          </w:tcPr>
          <w:p>
            <w:pPr>
              <w:jc w:val="left"/>
            </w:pPr>
            <w:r>
              <w:rPr>
                <w:b/>
                <w:bCs/>
                <w:color w:val="FFFFFF"/>
                <w:sz w:val="11"/>
                <w:szCs w:val="11"/>
              </w:rPr>
              <w:t xml:space="preserve">L3 Processes</w:t>
            </w:r>
          </w:p>
        </w:tc>
        <w:tc>
          <w:tcPr>
            <w:tcW w:type="pct" w:w="19.92%"/>
            <w:shd w:fill="1B4F8A" w:val="clear"/>
            <w:tcMar>
              <w:top w:type="dxa" w:w="60"/>
              <w:left w:type="dxa" w:w="140"/>
              <w:bottom w:type="dxa" w:w="60"/>
              <w:right w:type="dxa" w:w="60"/>
            </w:tcMar>
            <w:vAlign w:val="bottom"/>
          </w:tcPr>
          <w:p>
            <w:pPr>
              <w:jc w:val="center"/>
            </w:pPr>
            <w:r>
              <w:rPr>
                <w:b/>
                <w:bCs/>
                <w:color w:val="FFFFFF"/>
                <w:sz w:val="11"/>
                <w:szCs w:val="11"/>
              </w:rPr>
              <w:t xml:space="preserve">L4 Activities</w:t>
            </w:r>
          </w:p>
        </w:tc>
      </w:tr>
      <w:tr>
        <w:tc>
          <w:tcPr>
            <w:tcW w:type="pct" w:w="28.88%"/>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5"/>
                <w:szCs w:val="15"/>
              </w:rPr>
              <w:t xml:space="preserve">CHRO</w:t>
            </w:r>
          </w:p>
        </w:tc>
        <w:tc>
          <w:tcPr>
            <w:tcW w:type="pct" w:w="15.94%"/>
            <w:tcBorders>
              <w:top w:val="single" w:color="7AAED6" w:sz="2"/>
              <w:left w:val="single" w:color="7AAED6" w:sz="2"/>
              <w:bottom w:val="single" w:color="7AAED6" w:sz="2"/>
              <w:right w:val="single" w:color="7AAED6" w:sz="2"/>
            </w:tcBorders>
            <w:shd w:fill="FEE2E2" w:val="clear"/>
            <w:tcMar>
              <w:top w:type="dxa" w:w="80"/>
              <w:left w:type="dxa" w:w="100"/>
              <w:bottom w:type="dxa" w:w="80"/>
              <w:right w:type="dxa" w:w="100"/>
            </w:tcMar>
            <w:vAlign w:val="top"/>
          </w:tcPr>
          <w:p>
            <w:pPr>
              <w:jc w:val="center"/>
            </w:pPr>
            <w:r>
              <w:rPr>
                <w:b/>
                <w:bCs/>
                <w:color w:val="991B1B"/>
                <w:sz w:val="12"/>
                <w:szCs w:val="12"/>
              </w:rPr>
              <w:t xml:space="preserve">Executive</w:t>
            </w:r>
          </w:p>
        </w:tc>
        <w:tc>
          <w:tcPr>
            <w:tcW w:type="pct" w:w="35.26%"/>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666666"/>
                <w:sz w:val="13"/>
                <w:szCs w:val="13"/>
              </w:rPr>
              <w:t xml:space="preserve">7.1.1</w:t>
            </w:r>
          </w:p>
        </w:tc>
        <w:tc>
          <w:tcPr>
            <w:tcW w:type="pct" w:w="19.92%"/>
            <w:tcBorders>
              <w:top w:val="single" w:color="7AAED6" w:sz="2"/>
              <w:left w:val="single" w:color="7AAED6" w:sz="2"/>
              <w:bottom w:val="single" w:color="7AAED6" w:sz="2"/>
              <w:right w:val="single" w:color="7AAED6" w:sz="2"/>
            </w:tcBorders>
            <w:shd w:fill="FFFFFF" w:val="clear"/>
            <w:tcMar>
              <w:top w:type="dxa" w:w="80"/>
              <w:left w:type="dxa" w:w="100"/>
              <w:bottom w:type="dxa" w:w="80"/>
              <w:right w:type="dxa" w:w="100"/>
            </w:tcMar>
            <w:vAlign w:val="top"/>
          </w:tcPr>
          <w:p>
            <w:pPr>
              <w:jc w:val="center"/>
            </w:pPr>
            <w:r>
              <w:rPr>
                <w:color w:val="444444"/>
                <w:sz w:val="15"/>
                <w:szCs w:val="15"/>
              </w:rPr>
              <w:t xml:space="preserve">10</w:t>
            </w:r>
          </w:p>
        </w:tc>
      </w:tr>
      <w:tr>
        <w:tc>
          <w:tcPr>
            <w:tcW w:type="pct" w:w="28.88%"/>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444444"/>
                <w:sz w:val="15"/>
                <w:szCs w:val="15"/>
              </w:rPr>
              <w:t xml:space="preserve">Director of HR Ops</w:t>
            </w:r>
          </w:p>
        </w:tc>
        <w:tc>
          <w:tcPr>
            <w:tcW w:type="pct" w:w="15.94%"/>
            <w:tcBorders>
              <w:top w:val="single" w:color="7AAED6" w:sz="2"/>
              <w:left w:val="single" w:color="7AAED6" w:sz="2"/>
              <w:bottom w:val="single" w:color="7AAED6" w:sz="2"/>
              <w:right w:val="single" w:color="7AAED6" w:sz="2"/>
            </w:tcBorders>
            <w:shd w:fill="EEF3FA" w:val="clear"/>
            <w:tcMar>
              <w:top w:type="dxa" w:w="80"/>
              <w:left w:type="dxa" w:w="100"/>
              <w:bottom w:type="dxa" w:w="80"/>
              <w:right w:type="dxa" w:w="100"/>
            </w:tcMar>
            <w:vAlign w:val="top"/>
          </w:tcPr>
          <w:p>
            <w:pPr>
              <w:jc w:val="center"/>
            </w:pPr>
            <w:r>
              <w:rPr>
                <w:b/>
                <w:bCs/>
                <w:color w:val="1B4F8A"/>
                <w:sz w:val="12"/>
                <w:szCs w:val="12"/>
              </w:rPr>
              <w:t xml:space="preserve">Managerial</w:t>
            </w:r>
          </w:p>
        </w:tc>
        <w:tc>
          <w:tcPr>
            <w:tcW w:type="pct" w:w="35.26%"/>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666666"/>
                <w:sz w:val="13"/>
                <w:szCs w:val="13"/>
              </w:rPr>
              <w:t xml:space="preserve">7.1.2, 7.1.3</w:t>
            </w:r>
          </w:p>
        </w:tc>
        <w:tc>
          <w:tcPr>
            <w:tcW w:type="pct" w:w="19.92%"/>
            <w:tcBorders>
              <w:top w:val="single" w:color="7AAED6" w:sz="2"/>
              <w:left w:val="single" w:color="7AAED6" w:sz="2"/>
              <w:bottom w:val="single" w:color="7AAED6" w:sz="2"/>
              <w:right w:val="single" w:color="7AAED6" w:sz="2"/>
            </w:tcBorders>
            <w:shd w:fill="FAFBFD" w:val="clear"/>
            <w:tcMar>
              <w:top w:type="dxa" w:w="80"/>
              <w:left w:type="dxa" w:w="100"/>
              <w:bottom w:type="dxa" w:w="80"/>
              <w:right w:type="dxa" w:w="100"/>
            </w:tcMar>
            <w:vAlign w:val="top"/>
          </w:tcPr>
          <w:p>
            <w:pPr>
              <w:jc w:val="center"/>
            </w:pPr>
            <w:r>
              <w:rPr>
                <w:color w:val="444444"/>
                <w:sz w:val="15"/>
                <w:szCs w:val="15"/>
              </w:rPr>
              <w:t xml:space="preserve">20</w:t>
            </w:r>
          </w:p>
        </w:tc>
      </w:tr>
      <w:tr>
        <w:tc>
          <w:tcPr>
            <w:tcW w:type="pct" w:w="28.88%"/>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5"/>
                <w:szCs w:val="15"/>
              </w:rPr>
              <w:t xml:space="preserve">Director of L&amp;D</w:t>
            </w:r>
          </w:p>
        </w:tc>
        <w:tc>
          <w:tcPr>
            <w:tcW w:type="pct" w:w="15.94%"/>
            <w:tcBorders>
              <w:top w:val="single" w:color="7AAED6" w:sz="2"/>
              <w:left w:val="single" w:color="7AAED6" w:sz="2"/>
              <w:bottom w:val="single" w:color="7AAED6" w:sz="2"/>
              <w:right w:val="single" w:color="7AAED6" w:sz="2"/>
            </w:tcBorders>
            <w:shd w:fill="EEF3FA" w:val="clear"/>
            <w:tcMar>
              <w:top w:type="dxa" w:w="80"/>
              <w:left w:type="dxa" w:w="100"/>
              <w:bottom w:type="dxa" w:w="80"/>
              <w:right w:type="dxa" w:w="100"/>
            </w:tcMar>
            <w:vAlign w:val="top"/>
          </w:tcPr>
          <w:p>
            <w:pPr>
              <w:jc w:val="center"/>
            </w:pPr>
            <w:r>
              <w:rPr>
                <w:b/>
                <w:bCs/>
                <w:color w:val="1B4F8A"/>
                <w:sz w:val="12"/>
                <w:szCs w:val="12"/>
              </w:rPr>
              <w:t xml:space="preserve">Managerial</w:t>
            </w:r>
          </w:p>
        </w:tc>
        <w:tc>
          <w:tcPr>
            <w:tcW w:type="pct" w:w="35.26%"/>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666666"/>
                <w:sz w:val="13"/>
                <w:szCs w:val="13"/>
              </w:rPr>
              <w:t xml:space="preserve">7.1.4</w:t>
            </w:r>
          </w:p>
        </w:tc>
        <w:tc>
          <w:tcPr>
            <w:tcW w:type="pct" w:w="19.92%"/>
            <w:tcBorders>
              <w:top w:val="single" w:color="7AAED6" w:sz="2"/>
              <w:left w:val="single" w:color="7AAED6" w:sz="2"/>
              <w:bottom w:val="single" w:color="7AAED6" w:sz="2"/>
              <w:right w:val="single" w:color="7AAED6" w:sz="2"/>
            </w:tcBorders>
            <w:shd w:fill="FFFFFF" w:val="clear"/>
            <w:tcMar>
              <w:top w:type="dxa" w:w="80"/>
              <w:left w:type="dxa" w:w="100"/>
              <w:bottom w:type="dxa" w:w="80"/>
              <w:right w:type="dxa" w:w="100"/>
            </w:tcMar>
            <w:vAlign w:val="top"/>
          </w:tcPr>
          <w:p>
            <w:pPr>
              <w:jc w:val="center"/>
            </w:pPr>
            <w:r>
              <w:rPr>
                <w:color w:val="444444"/>
                <w:sz w:val="15"/>
                <w:szCs w:val="15"/>
              </w:rPr>
              <w:t xml:space="preserve">1</w:t>
            </w:r>
          </w:p>
        </w:tc>
      </w:tr>
    </w:tbl>
    <w:p>
      <w:pPr>
        <w:spacing w:after="40" w:before="260"/>
      </w:pPr>
      <w:r>
        <w:rPr>
          <w:b/>
          <w:bCs/>
          <w:color w:val="0D2D4F"/>
          <w:sz w:val="19"/>
          <w:szCs w:val="19"/>
        </w:rPr>
        <w:t xml:space="preserve">Handoff Points</w:t>
      </w:r>
    </w:p>
    <w:p>
      <w:pPr>
        <w:spacing w:after="160"/>
      </w:pPr>
      <w:r>
        <w:rPr>
          <w:color w:val="444444"/>
          <w:sz w:val="18"/>
          <w:szCs w:val="18"/>
        </w:rPr>
        <w:t xml:space="preserve">HR Vision-to-Strategy opens with CHRO-accountable strategy formation (7.1.1), then hands to Director of HR Ops for workforce planning, policy administration, and ongoing strategy monitoring (7.1.2, 7.1.3) — the value stream's design-and-governance layer. Director of L&amp;D holds competency management models (7.1.4) as a single adjacent step within this same design-tier group, closing the value stream before its outputs hand off downstream to every operational and enablement stream in the domain.</w:t>
      </w:r>
    </w:p>
    <w:p>
      <w:pPr>
        <w:spacing w:after="40" w:before="260"/>
      </w:pPr>
      <w:r>
        <w:rPr>
          <w:b/>
          <w:bCs/>
          <w:color w:val="0D2D4F"/>
          <w:sz w:val="19"/>
          <w:szCs w:val="19"/>
        </w:rPr>
        <w:t xml:space="preserve">Governed Decision Points</w:t>
      </w:r>
    </w:p>
    <w:p>
      <w:pPr>
        <w:spacing w:after="100"/>
      </w:pPr>
      <w:r>
        <w:rPr>
          <w:color w:val="888888"/>
          <w:sz w:val="14"/>
          <w:szCs w:val="14"/>
        </w:rPr>
        <w:t xml:space="preserve">Every Decision/Exception-pattern activity in the value stream, including those embedded inside Mixed-labeled steps.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0"/>
        <w:gridCol w:w="1900"/>
        <w:gridCol w:w="1400"/>
        <w:gridCol w:w="1900"/>
        <w:gridCol w:w="1460"/>
        <w:gridCol w:w="2600"/>
      </w:tblGrid>
      <w:tr>
        <w:trPr>
          <w:tblHeader/>
        </w:trPr>
        <w:tc>
          <w:tcPr>
            <w:tcW w:type="pct" w:w="7.77%"/>
            <w:shd w:fill="1B4F8A" w:val="clear"/>
            <w:tcMar>
              <w:top w:type="dxa" w:w="60"/>
              <w:left w:type="dxa" w:w="140"/>
              <w:bottom w:type="dxa" w:w="60"/>
              <w:right w:type="dxa" w:w="60"/>
            </w:tcMar>
            <w:vAlign w:val="bottom"/>
          </w:tcPr>
          <w:p>
            <w:pPr>
              <w:jc w:val="left"/>
            </w:pPr>
            <w:r>
              <w:rPr>
                <w:b/>
                <w:bCs/>
                <w:color w:val="FFFFFF"/>
                <w:sz w:val="11"/>
                <w:szCs w:val="11"/>
              </w:rPr>
              <w:t xml:space="preserve">PCF</w:t>
            </w:r>
          </w:p>
        </w:tc>
        <w:tc>
          <w:tcPr>
            <w:tcW w:type="pct" w:w="18.92%"/>
            <w:shd w:fill="1B4F8A" w:val="clear"/>
            <w:tcMar>
              <w:top w:type="dxa" w:w="60"/>
              <w:left w:type="dxa" w:w="140"/>
              <w:bottom w:type="dxa" w:w="60"/>
              <w:right w:type="dxa" w:w="60"/>
            </w:tcMar>
            <w:vAlign w:val="bottom"/>
          </w:tcPr>
          <w:p>
            <w:pPr>
              <w:jc w:val="left"/>
            </w:pPr>
            <w:r>
              <w:rPr>
                <w:b/>
                <w:bCs/>
                <w:color w:val="FFFFFF"/>
                <w:sz w:val="11"/>
                <w:szCs w:val="11"/>
              </w:rPr>
              <w:t xml:space="preserve">Decision</w:t>
            </w:r>
          </w:p>
        </w:tc>
        <w:tc>
          <w:tcPr>
            <w:tcW w:type="pct" w:w="13.94%"/>
            <w:shd w:fill="1B4F8A" w:val="clear"/>
            <w:tcMar>
              <w:top w:type="dxa" w:w="60"/>
              <w:left w:type="dxa" w:w="140"/>
              <w:bottom w:type="dxa" w:w="60"/>
              <w:right w:type="dxa" w:w="60"/>
            </w:tcMar>
            <w:vAlign w:val="bottom"/>
          </w:tcPr>
          <w:p>
            <w:pPr>
              <w:jc w:val="left"/>
            </w:pPr>
            <w:r>
              <w:rPr>
                <w:b/>
                <w:bCs/>
                <w:color w:val="FFFFFF"/>
                <w:sz w:val="11"/>
                <w:szCs w:val="11"/>
              </w:rPr>
              <w:t xml:space="preserve">Authority</w:t>
            </w:r>
          </w:p>
        </w:tc>
        <w:tc>
          <w:tcPr>
            <w:tcW w:type="pct" w:w="18.92%"/>
            <w:shd w:fill="1B4F8A" w:val="clear"/>
            <w:tcMar>
              <w:top w:type="dxa" w:w="60"/>
              <w:left w:type="dxa" w:w="140"/>
              <w:bottom w:type="dxa" w:w="60"/>
              <w:right w:type="dxa" w:w="60"/>
            </w:tcMar>
            <w:vAlign w:val="bottom"/>
          </w:tcPr>
          <w:p>
            <w:pPr>
              <w:jc w:val="left"/>
            </w:pPr>
            <w:r>
              <w:rPr>
                <w:b/>
                <w:bCs/>
                <w:color w:val="FFFFFF"/>
                <w:sz w:val="11"/>
                <w:szCs w:val="11"/>
              </w:rPr>
              <w:t xml:space="preserve">Impact</w:t>
            </w:r>
          </w:p>
        </w:tc>
        <w:tc>
          <w:tcPr>
            <w:tcW w:type="pct" w:w="14.54%"/>
            <w:shd w:fill="1B4F8A" w:val="clear"/>
            <w:tcMar>
              <w:top w:type="dxa" w:w="60"/>
              <w:left w:type="dxa" w:w="140"/>
              <w:bottom w:type="dxa" w:w="60"/>
              <w:right w:type="dxa" w:w="60"/>
            </w:tcMar>
            <w:vAlign w:val="bottom"/>
          </w:tcPr>
          <w:p>
            <w:pPr>
              <w:jc w:val="left"/>
            </w:pPr>
            <w:r>
              <w:rPr>
                <w:b/>
                <w:bCs/>
                <w:color w:val="FFFFFF"/>
                <w:sz w:val="11"/>
                <w:szCs w:val="11"/>
              </w:rPr>
              <w:t xml:space="preserve">Escalates To</w:t>
            </w:r>
          </w:p>
        </w:tc>
        <w:tc>
          <w:tcPr>
            <w:tcW w:type="pct" w:w="25.9%"/>
            <w:shd w:fill="1B4F8A" w:val="clear"/>
            <w:tcMar>
              <w:top w:type="dxa" w:w="60"/>
              <w:left w:type="dxa" w:w="140"/>
              <w:bottom w:type="dxa" w:w="60"/>
              <w:right w:type="dxa" w:w="60"/>
            </w:tcMar>
            <w:vAlign w:val="bottom"/>
          </w:tcPr>
          <w:p>
            <w:pPr>
              <w:jc w:val="left"/>
            </w:pPr>
            <w:r>
              <w:rPr>
                <w:b/>
                <w:bCs/>
                <w:color w:val="FFFFFF"/>
                <w:sz w:val="11"/>
                <w:szCs w:val="11"/>
              </w:rPr>
              <w:t xml:space="preserve">Trigger</w:t>
            </w:r>
          </w:p>
        </w:tc>
      </w:tr>
      <w:tr>
        <w:tc>
          <w:tcPr>
            <w:tcW w:type="pct" w:w="7.77%"/>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000000"/>
                <w:sz w:val="13"/>
                <w:szCs w:val="13"/>
              </w:rPr>
              <w:t xml:space="preserve">7.1.1</w:t>
            </w:r>
          </w:p>
        </w:tc>
        <w:tc>
          <w:tcPr>
            <w:tcW w:type="pct" w:w="18.92%"/>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3"/>
                <w:szCs w:val="13"/>
              </w:rPr>
              <w:t xml:space="preserve">Approve the enterprise HR strategy</w:t>
            </w:r>
          </w:p>
        </w:tc>
        <w:tc>
          <w:tcPr>
            <w:tcW w:type="pct" w:w="13.94%"/>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3"/>
                <w:szCs w:val="13"/>
              </w:rPr>
              <w:t xml:space="preserve">CHRO</w:t>
            </w:r>
          </w:p>
        </w:tc>
        <w:tc>
          <w:tcPr>
            <w:tcW w:type="pct" w:w="18.92%"/>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3"/>
                <w:szCs w:val="13"/>
              </w:rPr>
              <w:t xml:space="preserve">Strategic — sets direction and resource allocation for every downstream HR value stream</w:t>
            </w:r>
          </w:p>
        </w:tc>
        <w:tc>
          <w:tcPr>
            <w:tcW w:type="pct" w:w="14.54%"/>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3"/>
                <w:szCs w:val="13"/>
              </w:rPr>
              <w:t xml:space="preserve">CEO / Board (outside the HR role catalog)</w:t>
            </w:r>
          </w:p>
        </w:tc>
        <w:tc>
          <w:tcPr>
            <w:tcW w:type="pct" w:w="25.9%"/>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3"/>
                <w:szCs w:val="13"/>
              </w:rPr>
              <w:t xml:space="preserve">Strategy requires enterprise-level budget commitment beyond CHRO's authority, or conflicts with board-approved workforce or financial constraints</w:t>
            </w:r>
          </w:p>
        </w:tc>
      </w:tr>
    </w:tbl>
    <w:p>
      <w:pPr>
        <w:spacing w:before="260"/>
      </w:pPr>
      <w:r>
        <w:rPr>
          <w:i/>
          <w:iCs/>
          <w:color w:val="888888"/>
          <w:sz w:val="13"/>
          <w:szCs w:val="13"/>
        </w:rPr>
        <w:t xml:space="preserve">© Timothy P. King 2026 · developed with the assistance of Claude (Anthropic)</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3"/>
        <w:szCs w:val="13"/>
      </w:rPr>
      <w:t xml:space="preserve">Page </w:t>
    </w:r>
    <w:r>
      <w:rPr>
        <w:color w:val="888888"/>
        <w:sz w:val="13"/>
        <w:szCs w:val="13"/>
      </w:rPr>
      <w:fldChar w:fldCharType="begin"/>
      <w:instrText xml:space="preserve">PAGE</w:instrText>
      <w:fldChar w:fldCharType="separate"/>
      <w:fldChar w:fldCharType="end"/>
    </w:r>
    <w:r>
      <w:rPr>
        <w:color w:val="888888"/>
        <w:sz w:val="13"/>
        <w:szCs w:val="13"/>
      </w:rPr>
      <w:t xml:space="preserve"> of </w:t>
    </w:r>
    <w:r>
      <w:rPr>
        <w:color w:val="888888"/>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pPr>
    <w:r>
      <w:rPr>
        <w:b/>
        <w:bCs/>
        <w:color w:val="1B4F8A"/>
        <w:sz w:val="13"/>
        <w:szCs w:val="13"/>
      </w:rPr>
      <w:t xml:space="preserve">The Human-AI Partnership Framework</w:t>
    </w:r>
  </w:p>
  <w:p>
    <w:r>
      <w:rPr>
        <w:i/>
        <w:iCs/>
        <w:color w:val="888888"/>
        <w:sz w:val="13"/>
        <w:szCs w:val="13"/>
      </w:rPr>
      <w:t xml:space="preserve">PCF 7.1 — HR Vision-to-Strategy — Value Stream Profile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2026-08-09T12:14:51.189Z</dcterms:created>
  <dcterms:modified xsi:type="dcterms:W3CDTF">2026-08-09T12:14:51.210Z</dcterms:modified>
</cp:coreProperties>
</file>

<file path=docProps/custom.xml><?xml version="1.0" encoding="utf-8"?>
<Properties xmlns="http://schemas.openxmlformats.org/officeDocument/2006/custom-properties" xmlns:vt="http://schemas.openxmlformats.org/officeDocument/2006/docPropsVTypes"/>
</file>