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Move-to-Exit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7.6 — Transition Talent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7.6 Redeploy and Retire Employees — spanning 3 Level 3 processes and 6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4 Transaction activities (rules-based processing suited to automation), 1 Decision activity (judgment-and-authority gates that stay human by design), and 1 Knowledge activity (judgment, synthesis, and interpretation-driven work). No Exception-pattern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48%, down from a 70% undesigned baseline — a 22-point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6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48%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Separation cost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Total cost to perform “redeploy and retire employees” ÷ (Total business entity revenue × 0.001) — per-FTE and per-employee variants follow the same pattern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Exit sentiment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Weighted average of favorable sentiment responses across exit interviews, by cycle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Compliance / litigation exposure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Exit-related compliance incidents or claims ÷ total exits, measured annually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Knowledge-loss risk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Departures from critical/single-point-of-failure roles ÷ total exits, per cycle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Move-to-Exit is the first value stream in this framework where a single role — HR Business Partner Manager — is Accountable for every L3 process, a confirmed structural finding rather than under-differentiation: published offboarding-process literature identifies diffused ownership as the primary failure mode for exit workflows, making concentrated single-role accountability the correct shape here. Human judgment stays most anchored in 7.6.1 (Manage Promotion and Demotion Process, Decision-pattern, the smallest Δ M1→M3 in the value stream at -12 points). This value stream also produced the framework's first confirmed specialist-role gap: 7.6.3's Accountable assignment is explicitly partial, since International HR Management is a recognized specialist discipline the current role catalog does not name — distinct in kind from Reward-to-Retain's HR/Finance boundary, which was a split between two existing roles rather than the absence of one.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0369A1"/>
                <w:sz w:val="11"/>
                <w:szCs w:val="11"/>
              </w:rPr>
              <w:t xml:space="preserve">No activities of this pattern in this value stream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4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991B1B"/>
                <w:sz w:val="11"/>
                <w:szCs w:val="11"/>
              </w:rPr>
              <w:t xml:space="preserve">No activities of this pattern in this value stream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HRBP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7.6.1, 7.6.2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HRBP Manager (partial—see gap note)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666666"/>
                <w:sz w:val="12"/>
                <w:szCs w:val="12"/>
              </w:rPr>
              <w:t xml:space="preserve">External Participant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7.6.3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Move-to-Exit is the framework's first value stream with a single Accountable role: HR Business Partner Manager is Accountable for all three L3s and every step in this process flow, consistent with the offboarding-literature finding that diffused ownership is the primary failure mode for exit processes.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real handoffs in this value stream sit outside HR rather than between HR roles. 7.6.2 Manage Separation triggers coordinated workstreams with Payroll, IT/Security, and Facilities against a shared offboarding checklist — final pay, access removal, asset return — outside HR's accountability scope, and escalates to Legal only for contested or high-risk terminations, not as a routine participant.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7.6.3 Relocate Employees and Manage Assignments is the value stream's confirmed specialist-role gap: HR Business Partner Manager's ownership here is explicitly partial, since International HR Management is a recognized specialist discipline the current role catalog does not name.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7.6.1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Approve an employee promotion or demotion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HRBP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Career/compensation — affects employee title, band, and pay level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People &amp; Culture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Promotion/demotion involves a significant compensation-band change, a contested or disputed case, or falls outside standard promotion criteria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7.6 — Move-to-Exit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2026-08-09T12:14:52.194Z</dcterms:created>
  <dcterms:modified xsi:type="dcterms:W3CDTF">2026-08-09T12:14:52.194Z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