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shd w:fill="0D2D4F" w:val="clear"/>
            <w:tcMar>
              <w:top w:type="dxa" w:w="260"/>
              <w:left w:type="dxa" w:w="400"/>
              <w:bottom w:type="dxa" w:w="260"/>
              <w:right w:type="dxa" w:w="40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THE HUMAN-AI PARTNERSHIP FRAMEWORK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9FC2EE"/>
                <w:sz w:val="18"/>
                <w:szCs w:val="18"/>
              </w:rPr>
              <w:t xml:space="preserve">Pattern Transition Narratives — Stage-First View</w:t>
            </w:r>
          </w:p>
        </w:tc>
      </w:tr>
    </w:tbl>
    <w:p>
      <w:pPr>
        <w:spacing w:after="140" w:before="200"/>
      </w:pP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dxa" w:w="10040"/>
            <w:tcBorders>
              <w:top w:val="none" w:color="FFFFFF" w:sz="0"/>
              <w:left w:val="single" w:color="B8873F" w:sz="24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7A5A1E"/>
                <w:sz w:val="18"/>
                <w:szCs w:val="18"/>
              </w:rPr>
              <w:t xml:space="preserve">Step 1 · Prototype — this Word document is the exact companion to the identical HTML page published to the WIP hub; the content below matches it verbatim.</w:t>
            </w:r>
          </w:p>
        </w:tc>
      </w:tr>
    </w:tbl>
    <w:p>
      <w:pPr>
        <w:spacing w:after="4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2D4F"/>
          <w:sz w:val="30"/>
          <w:szCs w:val="30"/>
        </w:rPr>
        <w:t xml:space="preserve">Role-Specific Pattern Transitions</w:t>
      </w:r>
    </w:p>
    <w:p>
      <w:pPr>
        <w:spacing w:after="16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8"/>
          <w:szCs w:val="18"/>
        </w:rPr>
        <w:t xml:space="preserve">What M1 → M3 → M5 actually means for the work — stage-first view, CHRO</w:t>
      </w:r>
    </w:p>
    <w:p>
      <w:pPr>
        <w:spacing w:after="22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9"/>
          <w:szCs w:val="19"/>
        </w:rPr>
        <w:t xml:space="preserve">The exhibit below shows how the composition of each role's remaining human work shifts as AI matures, organized by maturity stage first, pattern second. It answers: at this specific stage, across every pattern the role touches, what does the work actually look like? Two different percentages appear: the composition table's share is each pattern's portion of the total remaining workload at that stage (each stage's shares sum to 100%), while the percentage beside each pattern in the stage detail below is that pattern's own human-involvement level, independent of the others.</w:t>
      </w:r>
    </w:p>
    <w:p>
      <w:pPr>
        <w:pBdr>
          <w:bottom w:val="single" w:color="0D2D4F" w:sz="6" w:space="4"/>
        </w:pBdr>
        <w:spacing w:after="40" w:before="12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4"/>
          <w:szCs w:val="24"/>
        </w:rPr>
        <w:t xml:space="preserve">CHRO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7"/>
          <w:szCs w:val="17"/>
        </w:rPr>
        <w:t xml:space="preserve">Accountable on 10 real L4 activities, all under PCF 7.1.1 Develop human resources strategy — the only PCF 7.0 process this role is Accountable for in current RACI data. Executive-tier responsibilities likely extend into PCF 1.0 Develop Vision and Strategy, not yet built into the framework — a real, stated scope limit, not a gap in this exhibit.</w:t>
      </w:r>
    </w:p>
    <w:p>
      <w:pPr>
        <w:pBdr>
          <w:top w:val="single" w:color="5B3A9E" w:sz="14" w:space="6"/>
        </w:pBdr>
        <w:spacing w:after="140" w:before="0"/>
      </w:pPr>
    </w:p>
    <w:p>
      <w:pPr>
        <w:spacing w:after="6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1A1A1A"/>
          <w:sz w:val="20"/>
          <w:szCs w:val="20"/>
        </w:rPr>
        <w:t xml:space="preserve">CHRO's work stays almost entirely Knowledge-pattern at every maturity stage — AI shrinks the volume of strategic work, not its character.</w:t>
      </w:r>
    </w:p>
    <w:p>
      <w:pPr>
        <w:spacing w:after="12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8585A"/>
          <w:sz w:val="16"/>
          <w:szCs w:val="16"/>
        </w:rPr>
        <w:t xml:space="preserve">Composition of CHRO's real activity mix still requiring human involvement, by HITL pattern — area = share, %</w:t>
      </w:r>
    </w:p>
    <w:p>
      <w:pPr>
        <w:spacing w:after="40" w:before="0"/>
      </w:pPr>
      <w:r>
        <w:rPr>
          <w:rFonts w:ascii="Segoe UI" w:cs="Segoe UI" w:eastAsia="Segoe UI" w:hAnsi="Segoe UI"/>
          <w:b/>
          <w:bCs/>
          <w:i w:val="false"/>
          <w:iCs w:val="false"/>
          <w:color w:val="21365E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1B4F8A"/>
          <w:sz w:val="15"/>
          <w:szCs w:val="15"/>
        </w:rPr>
        <w:t xml:space="preserve">Decision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Judgment &amp; Authority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5B3A9E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5"/>
          <w:szCs w:val="15"/>
        </w:rPr>
        <w:t xml:space="preserve">Knowledge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Synthesis &amp; Interpretation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0E7C86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5"/>
          <w:szCs w:val="15"/>
        </w:rPr>
        <w:t xml:space="preserve">Document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Content Generation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2F7D4F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166534"/>
          <w:sz w:val="15"/>
          <w:szCs w:val="15"/>
        </w:rPr>
        <w:t xml:space="preserve">Transaction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Rules-Based Processing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44444"/>
          <w:sz w:val="15"/>
          <w:szCs w:val="15"/>
        </w:rPr>
        <w:t xml:space="preserve">    </w:t>
      </w:r>
      <w:r>
        <w:rPr>
          <w:rFonts w:ascii="Segoe UI" w:cs="Segoe UI" w:eastAsia="Segoe UI" w:hAnsi="Segoe UI"/>
          <w:b/>
          <w:bCs/>
          <w:i w:val="false"/>
          <w:iCs w:val="false"/>
          <w:color w:val="8B2635"/>
          <w:sz w:val="15"/>
          <w:szCs w:val="15"/>
        </w:rPr>
        <w:t xml:space="preserve">■ </w:t>
      </w:r>
      <w:r>
        <w:rPr>
          <w:rFonts w:ascii="Segoe UI" w:cs="Segoe UI" w:eastAsia="Segoe UI" w:hAnsi="Segoe UI"/>
          <w:b/>
          <w:bCs/>
          <w:i w:val="false"/>
          <w:iCs w:val="false"/>
          <w:color w:val="991B1B"/>
          <w:sz w:val="15"/>
          <w:szCs w:val="15"/>
        </w:rPr>
        <w:t xml:space="preserve">Exception</w:t>
      </w: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 — Non-Standard Resolution</w:t>
      </w:r>
    </w:p>
    <w:p>
      <w:pPr>
        <w:spacing w:after="18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A8A8C"/>
          <w:sz w:val="14"/>
          <w:szCs w:val="14"/>
        </w:rPr>
        <w:t xml:space="preserve">Canonical pattern legend — one fixed color-and-label mapping used across every role and document in the framework, matching the live dashboard’s own legend.</w:t>
      </w:r>
    </w:p>
    <w:tbl>
      <w:tblPr>
        <w:tblW w:type="dxa" w:w="10040"/>
        <w:tblBorders>
          <w:top w:val="single" w:color="DDE3EE" w:sz="4"/>
          <w:left w:val="none" w:color="FFFFFF" w:sz="0"/>
          <w:bottom w:val="single" w:color="DDE3EE" w:sz="4"/>
          <w:right w:val="none" w:color="FFFFFF" w:sz="0"/>
          <w:insideH w:val="single" w:color="DDE3EE" w:sz="2"/>
          <w:insideV w:val="none" w:color="FFFFFF" w:sz="0"/>
        </w:tblBorders>
      </w:tblPr>
      <w:tblGrid>
        <w:gridCol w:w="260"/>
        <w:gridCol w:w="3600"/>
        <w:gridCol w:w="2060"/>
        <w:gridCol w:w="2060"/>
        <w:gridCol w:w="2060"/>
      </w:tblGrid>
      <w:tr>
        <w:trPr>
          <w:tblHeader/>
        </w:trPr>
        <w:tc>
          <w:tcPr>
            <w:tcW w:type="dxa" w:w="260"/>
            <w:tcMar>
              <w:top w:type="dxa" w:w="80"/>
              <w:left w:type="dxa" w:w="0"/>
              <w:bottom w:type="dxa" w:w="80"/>
              <w:right w:type="dxa" w:w="0"/>
            </w:tcMar>
            <w:vAlign w:val="bottom"/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bottom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5"/>
                <w:szCs w:val="15"/>
              </w:rPr>
              <w:t xml:space="preserve">Pattern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M1 — Undesigned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Current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M3 — HITL Design Intent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Target state</w:t>
            </w:r>
          </w:p>
        </w:tc>
        <w:tc>
          <w:tcPr>
            <w:tcW w:type="dxa" w:w="2060"/>
            <w:tcMar>
              <w:top w:type="dxa" w:w="80"/>
              <w:left w:type="dxa" w:w="100"/>
              <w:bottom w:type="dxa" w:w="80"/>
              <w:right w:type="dxa" w:w="100"/>
            </w:tcMar>
            <w:vAlign w:val="bottom"/>
          </w:tcPr>
          <w:p>
            <w:pPr>
              <w:spacing w:after="20" w:before="0"/>
              <w:jc w:val="center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8A"/>
                <w:sz w:val="14"/>
                <w:szCs w:val="14"/>
              </w:rPr>
              <w:t xml:space="preserve">M5 — Leading</w:t>
            </w:r>
          </w:p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/>
                <w:iCs/>
                <w:color w:val="1B4F8A"/>
                <w:sz w:val="13"/>
                <w:szCs w:val="13"/>
              </w:rPr>
              <w:t xml:space="preserve">Future state</w:t>
            </w:r>
          </w:p>
        </w:tc>
      </w:tr>
      <w:tr>
        <w:tc>
          <w:tcPr>
            <w:tcW w:type="dxa" w:w="260"/>
            <w:shd w:fill="5B3A9E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Knowledge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83%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87%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60"/>
            <w:shd w:fill="0E7C86" w:val="clear"/>
            <w:tcMar>
              <w:top w:type="dxa" w:w="90"/>
              <w:left w:type="dxa" w:w="0"/>
              <w:bottom w:type="dxa" w:w="90"/>
              <w:right w:type="dxa" w:w="0"/>
            </w:tcMar>
          </w:tcPr>
          <w:p/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17%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13%</w:t>
            </w:r>
          </w:p>
        </w:tc>
        <w:tc>
          <w:tcPr>
            <w:tcW w:type="dxa" w:w="20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10%</w:t>
            </w:r>
          </w:p>
        </w:tc>
      </w:tr>
    </w:tbl>
    <w:p>
      <w:pPr>
        <w:spacing w:after="260" w:before="140"/>
      </w:pPr>
      <w:r>
        <w:rPr>
          <w:rFonts w:ascii="Segoe UI" w:cs="Segoe UI" w:eastAsia="Segoe UI" w:hAnsi="Segoe UI"/>
          <w:b w:val="false"/>
          <w:bCs w:val="false"/>
          <w:i/>
          <w:iCs/>
          <w:color w:val="8A8A8C"/>
          <w:sz w:val="14"/>
          <w:szCs w:val="14"/>
        </w:rPr>
        <w:t xml:space="preserve">Built from CHRO's real PCF 7.1.1 RACI data (hitl_dashboard_final.html) — 10 L4 activities, all under "Develop human resources strategy," the only PCF 7.0 process this role is Accountable for in current RACI data (Executive-tier responsibilities likely extend into PCF 1.0 Develop Vision and Strategy, not yet built — a real, stated scope limit, not an artifact of this chart). Weighted by activity count × each pattern's M1/M3/M5 human-involvement %. Layout basis: squarified treemap (Bruls/Huizing/van Wijk) — box area is the only encoded quantity; the table below carries the same underlying share values.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M1 — Undesigned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(Current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85%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Formulating HR strategy — setting the direction for how the organization manages its workforce — is, at this stage, almost entirely the CHRO's own judgment and synthesis, with no structured AI support underneath it.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72%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Drafting the strategy documentation itself — largely manual writing work translating the CHRO's direction into a formal artifact.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M3 — HITL Design Intent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(Target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65%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 can synthesize workforce-trend data, benchmark comparable strategies, and surface early signals the CHRO would otherwise have to hunt for, but the strategic judgment itself — what direction is right for this organization, at this moment — stays with the CHRO. AI compresses the research and analysis layer underneath the decision, not the decision itself.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40%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Most of the language now auto-generates from the CHRO's stated direction and prior strategy documents, with the CHRO reviewing rather than drafting from scratch.</w:t>
      </w:r>
    </w:p>
    <w:p>
      <w:pPr>
        <w:pBdr>
          <w:bottom w:val="single" w:color="DDE3EE" w:sz="4" w:space="3"/>
        </w:pBdr>
        <w:spacing w:after="2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D2D4F"/>
          <w:sz w:val="23"/>
          <w:szCs w:val="23"/>
        </w:rPr>
        <w:t xml:space="preserve">M5 — Leading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555555"/>
          <w:sz w:val="16"/>
          <w:szCs w:val="16"/>
        </w:rPr>
        <w:t xml:space="preserve">(Future state)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534AB7"/>
          <w:sz w:val="18"/>
          <w:szCs w:val="18"/>
        </w:rPr>
        <w:t xml:space="preserve">KNOWLEDGE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42%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AI-assisted synthesis of workforce and market signals is the default; the CHRO's value narrows to judgment a system can't make — reading organizational and political context, committing to a direction under real uncertainty.</w:t>
      </w:r>
    </w:p>
    <w:p>
      <w:pPr>
        <w:spacing w:after="30" w:before="100"/>
      </w:pPr>
      <w:r>
        <w:rPr>
          <w:rFonts w:ascii="Segoe UI" w:cs="Segoe UI" w:eastAsia="Segoe UI" w:hAnsi="Segoe UI"/>
          <w:b/>
          <w:bCs/>
          <w:i w:val="false"/>
          <w:iCs w:val="false"/>
          <w:color w:val="0369A1"/>
          <w:sz w:val="18"/>
          <w:szCs w:val="18"/>
        </w:rPr>
        <w:t xml:space="preserve">DOCUMENT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888888"/>
          <w:sz w:val="16"/>
          <w:szCs w:val="16"/>
        </w:rPr>
        <w:t xml:space="preserve">· 18% human involvement</w:t>
      </w:r>
    </w:p>
    <w:p>
      <w:pPr>
        <w:spacing w:after="140" w:before="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Nearly fully automated: the CHRO's role becomes a final check that the documented strategy actually reflects the direction set one pattern up, in Knowledge.</w:t>
      </w:r>
    </w:p>
    <w:p>
      <w:pPr>
        <w:spacing w:after="40" w:before="16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Source: hitl_dashboard_final.html, PCF 7.1.1 (real RACI/pattern data) — matches chro_treemap_mckinsey.html (pattern-first companion view) and rtp_chro.html.</w:t>
      </w:r>
    </w:p>
    <w:p>
      <w:pPr>
        <w:spacing w:after="200" w:before="0"/>
      </w:pPr>
      <w:r>
        <w:rPr>
          <w:rFonts w:ascii="Segoe UI" w:cs="Segoe UI" w:eastAsia="Segoe UI" w:hAnsi="Segoe UI"/>
          <w:b w:val="false"/>
          <w:bCs w:val="false"/>
          <w:i/>
          <w:iCs/>
          <w:color w:val="888888"/>
          <w:sz w:val="14"/>
          <w:szCs w:val="14"/>
        </w:rPr>
        <w:t xml:space="preserve">Note: CHRO's current RACI footprint is narrow by design (a single L3 process), consistent with the standing one-Exec-Accountable-L3-per-mandate rule applied elsewhere in the framework — not an artifact of this exhibit.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E" w:sz="4" w:space="6"/>
      </w:pBdr>
      <w:jc w:val="center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888888"/>
        <w:sz w:val="16"/>
        <w:szCs w:val="16"/>
      </w:rPr>
      <w:t xml:space="preserve">Timothy P. King · Human Enterprise Architect · Step 1 · Prototype · September 2026 · hitldrivenarchitecture.com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4444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2026-09-05T19:47:32.010Z</dcterms:created>
  <dcterms:modified xsi:type="dcterms:W3CDTF">2026-09-05T19:47:32.011Z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