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HRBP Manager</w:t>
      </w:r>
    </w:p>
    <w:p>
      <w:pPr>
        <w:spacing w:after="22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4"/>
          <w:szCs w:val="24"/>
        </w:rPr>
        <w:t xml:space="preserve">HRBP Manager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7"/>
          <w:szCs w:val="17"/>
        </w:rPr>
        <w:t xml:space="preserve">Accountable on 22 real L4 activities across 10 real Accountable processes (7.2.1 Manage requisitions, 7.3.2 Manage performance, 7.4.1 Labor relations, 7.4.2 Collective bargaining, 7.4.3 Labor-management partnerships, 7.4.4 Employee grievances, 7.6.1 Promotion/demotion, 7.6.2 Manage separation, 7.8.1 Communication plan, 7.8.3 Deliver communications). Excludes 7.6.3 (Relocate employees), flagged in the source data as a partial/gap-noted accountability.</w:t>
      </w:r>
    </w:p>
    <w:p>
      <w:pPr>
        <w:pBdr>
          <w:top w:val="single" w:color="21365E" w:sz="14" w:space="6"/>
        </w:pBdr>
        <w:spacing w:after="140" w:before="0"/>
      </w:pP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HRBP Manager's remaining human work concentrates in judgment and exception-handling as AI matures: Decision's share nearly doubles, Exception holds firm, and Transaction fades toward the margins.</w:t>
      </w:r>
    </w:p>
    <w:p>
      <w:pPr>
        <w:spacing w:after="12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8585A"/>
          <w:sz w:val="16"/>
          <w:szCs w:val="16"/>
        </w:rPr>
        <w:t xml:space="preserve">Composition of HRBP Manager's real activity mix still requiring human involvement, by HITL pattern — area = share, %</w:t>
      </w:r>
    </w:p>
    <w:p>
      <w:pPr>
        <w:spacing w:after="4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  <w:vAlign w:val="bottom"/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21365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22%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35%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60"/>
            <w:shd w:fill="2F7D4F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260"/>
            <w:shd w:fill="8B2635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Exception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9%</w:t>
            </w:r>
          </w:p>
        </w:tc>
      </w:tr>
    </w:tbl>
    <w:p>
      <w:pPr>
        <w:spacing w:after="260" w:before="14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Built from HRBP Manager's real PCF 7.0 RACI data (hitl_dashboard_final.html) — 22 activities across its 10 real Accountable processes (7.2.1 Manage requisitions, 7.3.2 Manage performance, 7.4.1 Labor relations, 7.4.2 Collective bargaining, 7.4.3 Labor-management partnerships, 7.4.4 Employee grievances, 7.6.1 Promotion/demotion, 7.6.2 Manage separation, 7.8.1 Communication plan, 7.8.3 Deliver communications), weighted by activity count × each pattern's M1/M3/M5 human-involvement %. Excludes 7.6.3 (Relocate employees), flagged in the source data as a partial/gap-noted accountability.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Building labor-relations strategy, negotiating collective bargaining positions, sustaining labor-management partnerships, and designing performance-management approaches — this is relationship-and-judgment work the HRBP Manager owns personally, with essentially no structured AI support underneath it at this stage.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Managing requisitions and delivering communications — at this stage the HRBP Manager is personally handling requisition paperwork and pushing communications out by hand.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Deciding who gets promoted or separated, and how a grievance resolves — at this stage the HRBP Manager owns these calls almost entirely on personal judgment, with no structured AI input underneath them.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Drafting the communication plan itself — largely manual writing work at this stage.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rare case that falls outside every normal process — a labor dispute that escalates, a grievance that doesn't resolve through standard channels — is handled almost entirely on the HRBP Manager's own judgment, since nothing structured yet exists to support it.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surface bargaining-history patterns, grievance-trend data, and performance benchmarks, but the relationship work itself — building trust with labor representatives, reading a bargaining session, deciding how hard to push a position — stays with the HRBP Manager. AI narrows the research burden underneath the judgment, not the judgment itself.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35%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this is now templated and system-driven — requisition routing, communication delivery — with the HRBP Manager mainly handling exceptions the system flags.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surface comparable-case data — prior promotion decisions, grievance-resolution precedent, performance history — but the actual call on promotion, separation, and grievance outcomes stays human. A wrong call here carries real legal and trust cost, which is why the framework keeps this pattern close to full human ownership even at design intent.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plan's language now auto-generates from approved talking points and prior-plan templates, with the HRBP Manager reviewing and tailoring rather than drafting from scratch.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flag that a case doesn't fit the normal pattern and surface comparable past exceptions, but resolving it is still squarely human — Exception-pattern work resists structuring by design.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analysis of labor and performance trends is the default; the HRBP Manager's value narrows to what a system can't do — building trust across a bargaining table, sensing a partnership fraying before the data shows it.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work is a rounding error at this stage: reserved for the rare case the process genuinely breaks — the pattern that shrinks fastest and furthest across every role in the framework.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most of the call on someone's career or employment status is still human — comparable to Decision's floor in other roles, and for the same reason: this is accountability that can't be delegated to a system.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HRBP Manager's role becomes a final check that tone and specifics match what leadership actually intends to communicate.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8"/>
          <w:szCs w:val="18"/>
        </w:rPr>
        <w:t xml:space="preserve">EXCEPTION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68%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Exception-pattern work stays close to fully human — the floor barely moves, consistent with the framework's broader point that Decision and Exception are the two patterns that resist automation longest.</w:t>
      </w:r>
    </w:p>
    <w:p>
      <w:pPr>
        <w:spacing w:after="40" w:before="16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7.2–7.8 (real RACI/pattern data) — matches hrbp_manager_treemap_mckinsey.html (pattern-first companion view) and rtp_hrbp_manager.html.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Note: unlike the Recruiter stage-first view, this exhibit does not cite specific Governed Decision Point escalation targets for Decision-pattern work — that level of detail isn't yet confirmed against the live dashboard for this role, so it's left out rather than assumed.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2026-09-05T19:47:32.089Z</dcterms:created>
  <dcterms:modified xsi:type="dcterms:W3CDTF">2026-09-05T19:47:32.089Z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