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shd w:fill="0D2D4F" w:val="clear"/>
            <w:tcMar>
              <w:top w:type="dxa" w:w="300"/>
              <w:left w:type="dxa" w:w="400"/>
              <w:bottom w:type="dxa" w:w="300"/>
              <w:right w:type="dxa" w:w="400"/>
            </w:tcMar>
            <w:vAlign w:val="center"/>
          </w:tcPr>
          <w:p>
            <w:pPr>
              <w:spacing w:after="110" w:before="0"/>
              <w:jc w:val="center"/>
            </w:pPr>
            <w:r>
              <w:rPr>
                <w:rFonts w:ascii="Consolas" w:cs="Consolas" w:eastAsia="Consolas" w:hAnsi="Consolas"/>
                <w:b w:val="false"/>
                <w:bCs w:val="false"/>
                <w:i w:val="false"/>
                <w:iCs w:val="false"/>
                <w:color w:val="9FC2EE"/>
                <w:sz w:val="17"/>
                <w:szCs w:val="17"/>
              </w:rPr>
              <w:t xml:space="preserve">WORKING DISCUSSION  ·  TIM KING &amp; GIGI GARCIA  ·  SEPTEMBER 2026</w:t>
            </w:r>
          </w:p>
          <w:p>
            <w:pPr>
              <w:spacing w:after="90" w:before="0"/>
              <w:jc w:val="center"/>
            </w:pPr>
            <w:r>
              <w:rPr>
                <w:rFonts w:ascii="Georgia" w:cs="Georgia" w:eastAsia="Georgia" w:hAnsi="Georgia"/>
                <w:b/>
                <w:bCs/>
                <w:i w:val="false"/>
                <w:iCs w:val="false"/>
                <w:color w:val="FFFFFF"/>
                <w:sz w:val="36"/>
                <w:szCs w:val="36"/>
              </w:rPr>
              <w:t xml:space="preserve">Talking Through Your Questions</w:t>
            </w:r>
          </w:p>
          <w:p>
            <w:pPr>
              <w:spacing w:after="0" w:before="0"/>
              <w:jc w:val="center"/>
            </w:pPr>
            <w:r>
              <w:rPr>
                <w:rFonts w:ascii="Segoe UI" w:cs="Segoe UI" w:eastAsia="Segoe UI" w:hAnsi="Segoe UI"/>
                <w:b w:val="false"/>
                <w:bCs w:val="false"/>
                <w:i/>
                <w:iCs/>
                <w:color w:val="9FC2EE"/>
                <w:sz w:val="20"/>
                <w:szCs w:val="20"/>
              </w:rPr>
              <w:t xml:space="preserve">A working discussion draft, for Tim and GiGi to review together — drawn from GiGi's September 3, 2026 review notes.</w:t>
            </w:r>
          </w:p>
        </w:tc>
      </w:tr>
    </w:tbl>
    <w:p>
      <w:pPr>
        <w:spacing w:after="160" w:before="200"/>
      </w:pPr>
    </w:p>
    <w:p>
      <w:pPr>
        <w:spacing w:after="150" w:before="0"/>
      </w:pPr>
      <w:r>
        <w:rPr>
          <w:rFonts w:ascii="Segoe UI" w:cs="Segoe UI" w:eastAsia="Segoe UI" w:hAnsi="Segoe UI"/>
          <w:b w:val="false"/>
          <w:bCs w:val="false"/>
          <w:i w:val="false"/>
          <w:iCs w:val="false"/>
          <w:color w:val="444444"/>
          <w:sz w:val="19"/>
          <w:szCs w:val="19"/>
        </w:rPr>
        <w:t xml:space="preserve">This starts with a summary of your own site and language recommendations — a quick reference for what you already told us, in your own words — and then walks through your questions one at a time — the original twelve from your website and framework review, plus three more from your LifeLabs report note — what you asked, where things actually stand, and the real options where nothing is decided yet.</w:t>
      </w:r>
    </w:p>
    <w:p>
      <w:pPr>
        <w:spacing w:after="120" w:before="320"/>
      </w:pPr>
      <w:r>
        <w:rPr>
          <w:rFonts w:ascii="Georgia" w:cs="Georgia" w:eastAsia="Georgia" w:hAnsi="Georgia"/>
          <w:b/>
          <w:bCs/>
          <w:i w:val="false"/>
          <w:iCs w:val="false"/>
          <w:color w:val="0D2D4F"/>
          <w:sz w:val="26"/>
          <w:szCs w:val="26"/>
        </w:rPr>
        <w:t xml:space="preserve">Summary of Your Site Recommendations</w:t>
      </w:r>
    </w:p>
    <w:p>
      <w:pPr>
        <w:spacing w:after="140" w:before="0"/>
      </w:pPr>
      <w:r>
        <w:rPr>
          <w:rFonts w:ascii="Segoe UI" w:cs="Segoe UI" w:eastAsia="Segoe UI" w:hAnsi="Segoe UI"/>
          <w:b w:val="false"/>
          <w:bCs w:val="false"/>
          <w:i/>
          <w:iCs/>
          <w:color w:val="888888"/>
          <w:sz w:val="16"/>
          <w:szCs w:val="16"/>
        </w:rPr>
        <w:t xml:space="preserve">Pulled directly from your notes — a working reference to bring into the room, not a rewrite of what you said.</w:t>
      </w:r>
    </w:p>
    <w:p>
      <w:pPr>
        <w:spacing w:after="70" w:before="220"/>
      </w:pPr>
      <w:r>
        <w:rPr>
          <w:rFonts w:ascii="Segoe UI" w:cs="Segoe UI" w:eastAsia="Segoe UI" w:hAnsi="Segoe UI"/>
          <w:b/>
          <w:bCs/>
          <w:i w:val="false"/>
          <w:iCs w:val="false"/>
          <w:color w:val="1B4F8A"/>
          <w:sz w:val="20"/>
          <w:szCs w:val="20"/>
        </w:rPr>
        <w:t xml:space="preserve">Visual system &amp; hierarchy</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Keep navy, white, and soft blue as the dominant system</w:t>
      </w:r>
      <w:r>
        <w:rPr>
          <w:rFonts w:ascii="Segoe UI" w:cs="Segoe UI" w:eastAsia="Segoe UI" w:hAnsi="Segoe UI"/>
          <w:b w:val="false"/>
          <w:bCs w:val="false"/>
          <w:i w:val="false"/>
          <w:iCs w:val="false"/>
          <w:color w:val="444444"/>
          <w:sz w:val="19"/>
          <w:szCs w:val="19"/>
        </w:rPr>
        <w:t xml:space="preserve"> — refinement over redesign. If a new accent is added later, use it sparingly and only when it carries real meaning.</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Give the five work patterns a stronger visual identity</w:t>
      </w:r>
      <w:r>
        <w:rPr>
          <w:rFonts w:ascii="Segoe UI" w:cs="Segoe UI" w:eastAsia="Segoe UI" w:hAnsi="Segoe UI"/>
          <w:b w:val="false"/>
          <w:bCs w:val="false"/>
          <w:i w:val="false"/>
          <w:iCs w:val="false"/>
          <w:color w:val="444444"/>
          <w:sz w:val="19"/>
          <w:szCs w:val="19"/>
        </w:rPr>
        <w:t xml:space="preserve"> — Decision, Knowledge, Document, Transaction, Exception currently read more like a legend than building blocks — consistent labels, subtle color cues, short definitions.</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Pull major conclusions out of paragraph text</w:t>
      </w:r>
      <w:r>
        <w:rPr>
          <w:rFonts w:ascii="Segoe UI" w:cs="Segoe UI" w:eastAsia="Segoe UI" w:hAnsi="Segoe UI"/>
          <w:b w:val="false"/>
          <w:bCs w:val="false"/>
          <w:i w:val="false"/>
          <w:iCs w:val="false"/>
          <w:color w:val="444444"/>
          <w:sz w:val="19"/>
          <w:szCs w:val="19"/>
        </w:rPr>
        <w:t xml:space="preserve"> — short pull statements, key findings, simple before/after states, "what this means" boxes, clean diagrams, executive summary callouts. The 20–25 point convergence finding especially deserves this treatment.</w:t>
      </w:r>
      <w:r>
        <w:rPr>
          <w:rFonts w:ascii="Segoe UI" w:cs="Segoe UI" w:eastAsia="Segoe UI" w:hAnsi="Segoe UI"/>
          <w:b w:val="false"/>
          <w:bCs w:val="false"/>
          <w:i/>
          <w:iCs/>
          <w:color w:val="888888"/>
          <w:sz w:val="17"/>
          <w:szCs w:val="17"/>
        </w:rPr>
        <w:t xml:space="preserve"> [Added for precision, not part of your original note: that figure is modeled, not observed — see Q2 below.]</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Use the callout-box treatment more selectively</w:t>
      </w:r>
      <w:r>
        <w:rPr>
          <w:rFonts w:ascii="Segoe UI" w:cs="Segoe UI" w:eastAsia="Segoe UI" w:hAnsi="Segoe UI"/>
          <w:b w:val="false"/>
          <w:bCs w:val="false"/>
          <w:i w:val="false"/>
          <w:iCs w:val="false"/>
          <w:color w:val="444444"/>
          <w:sz w:val="19"/>
          <w:szCs w:val="19"/>
        </w:rPr>
        <w:t xml:space="preserve"> — like the HAL section and the HITL Design Principle box — reserved for the framework's strongest principles specifically.</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Modernize typography and spacing slightly</w:t>
      </w:r>
      <w:r>
        <w:rPr>
          <w:rFonts w:ascii="Segoe UI" w:cs="Segoe UI" w:eastAsia="Segoe UI" w:hAnsi="Segoe UI"/>
          <w:b w:val="false"/>
          <w:bCs w:val="false"/>
          <w:i w:val="false"/>
          <w:iCs w:val="false"/>
          <w:color w:val="444444"/>
          <w:sz w:val="19"/>
          <w:szCs w:val="19"/>
        </w:rPr>
        <w:t xml:space="preserve"> — larger page titles, stronger section headings, more breathing room between ideas, shorter paragraph widths, clearer emphasis on key phrases. Nothing dramatic.</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Protect "Where human judgment belongs"</w:t>
      </w:r>
      <w:r>
        <w:rPr>
          <w:rFonts w:ascii="Segoe UI" w:cs="Segoe UI" w:eastAsia="Segoe UI" w:hAnsi="Segoe UI"/>
          <w:b w:val="false"/>
          <w:bCs w:val="false"/>
          <w:i w:val="false"/>
          <w:iCs w:val="false"/>
          <w:color w:val="444444"/>
          <w:sz w:val="19"/>
          <w:szCs w:val="19"/>
        </w:rPr>
        <w:t xml:space="preserve"> — consider giving it more visual prominence — it's simple, curious, and does real work.</w:t>
      </w:r>
    </w:p>
    <w:p>
      <w:pPr>
        <w:spacing w:after="70" w:before="220"/>
      </w:pPr>
      <w:r>
        <w:rPr>
          <w:rFonts w:ascii="Segoe UI" w:cs="Segoe UI" w:eastAsia="Segoe UI" w:hAnsi="Segoe UI"/>
          <w:b/>
          <w:bCs/>
          <w:i w:val="false"/>
          <w:iCs w:val="false"/>
          <w:color w:val="1B4F8A"/>
          <w:sz w:val="20"/>
          <w:szCs w:val="20"/>
        </w:rPr>
        <w:t xml:space="preserve">Navigation &amp; structure</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Move from "study the architecture" to "solve my problem"</w:t>
      </w:r>
      <w:r>
        <w:rPr>
          <w:rFonts w:ascii="Segoe UI" w:cs="Segoe UI" w:eastAsia="Segoe UI" w:hAnsi="Segoe UI"/>
          <w:b w:val="false"/>
          <w:bCs w:val="false"/>
          <w:i w:val="false"/>
          <w:iCs w:val="false"/>
          <w:color w:val="444444"/>
          <w:sz w:val="19"/>
          <w:szCs w:val="19"/>
        </w:rPr>
        <w:t xml:space="preserve"> — guided entry points such as "I am a CHRO — show me HR," "I am a CFO — show me Finance," "I am redesigning a role — show me Role Transition," "I want to understand AI readiness — show me Maturity."</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Consider a simple explanatory sequence near the top of the site</w:t>
      </w:r>
      <w:r>
        <w:rPr>
          <w:rFonts w:ascii="Segoe UI" w:cs="Segoe UI" w:eastAsia="Segoe UI" w:hAnsi="Segoe UI"/>
          <w:b w:val="false"/>
          <w:bCs w:val="false"/>
          <w:i w:val="false"/>
          <w:iCs w:val="false"/>
          <w:color w:val="444444"/>
          <w:sz w:val="19"/>
          <w:szCs w:val="19"/>
        </w:rPr>
        <w:t xml:space="preserve"> — could explain the whole framework in a few seconds: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EEF3FA" w:val="clear"/>
            <w:tcMar>
              <w:top w:type="dxa" w:w="160"/>
              <w:left w:type="dxa" w:w="220"/>
              <w:bottom w:type="dxa" w:w="160"/>
              <w:right w:type="dxa" w:w="220"/>
            </w:tcMar>
          </w:tcPr>
          <w:p>
            <w:pPr>
              <w:spacing w:after="0" w:before="0"/>
              <w:jc w:val="center"/>
            </w:pPr>
            <w:r>
              <w:rPr>
                <w:rFonts w:ascii="Georgia" w:cs="Georgia" w:eastAsia="Georgia" w:hAnsi="Georgia"/>
                <w:b/>
                <w:bCs/>
                <w:i/>
                <w:iCs/>
                <w:color w:val="0D2D4F"/>
                <w:sz w:val="21"/>
                <w:szCs w:val="21"/>
              </w:rPr>
              <w:t xml:space="preserve">Technology Capability → Work Design → Human Judgment → Accountability → Readiness</w:t>
            </w:r>
          </w:p>
        </w:tc>
      </w:tr>
    </w:tbl>
    <w:p>
      <w:pPr>
        <w:spacing w:after="140"/>
      </w:pP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Prioritize clarity, usability, and executive interpretation</w:t>
      </w:r>
      <w:r>
        <w:rPr>
          <w:rFonts w:ascii="Segoe UI" w:cs="Segoe UI" w:eastAsia="Segoe UI" w:hAnsi="Segoe UI"/>
          <w:b w:val="false"/>
          <w:bCs w:val="false"/>
          <w:i w:val="false"/>
          <w:iCs w:val="false"/>
          <w:color w:val="444444"/>
          <w:sz w:val="19"/>
          <w:szCs w:val="19"/>
        </w:rPr>
        <w:t xml:space="preserve"> — not decoration. The foundation is strong; the fix is hierarchy, not a redesign.</w:t>
      </w:r>
    </w:p>
    <w:p>
      <w:pPr>
        <w:spacing w:after="70" w:before="220"/>
      </w:pPr>
      <w:r>
        <w:rPr>
          <w:rFonts w:ascii="Segoe UI" w:cs="Segoe UI" w:eastAsia="Segoe UI" w:hAnsi="Segoe UI"/>
          <w:b/>
          <w:bCs/>
          <w:i w:val="false"/>
          <w:iCs w:val="false"/>
          <w:color w:val="1B4F8A"/>
          <w:sz w:val="20"/>
          <w:szCs w:val="20"/>
        </w:rPr>
        <w:t xml:space="preserve">Language &amp; precision</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Keep the two strongest lines as-is</w:t>
      </w:r>
      <w:r>
        <w:rPr>
          <w:rFonts w:ascii="Segoe UI" w:cs="Segoe UI" w:eastAsia="Segoe UI" w:hAnsi="Segoe UI"/>
          <w:b w:val="false"/>
          <w:bCs w:val="false"/>
          <w:i w:val="false"/>
          <w:iCs w:val="false"/>
          <w:color w:val="444444"/>
          <w:sz w:val="19"/>
          <w:szCs w:val="19"/>
        </w:rPr>
        <w:t xml:space="preserve"> — "Where human judgment belongs" and "HITL as an organizational design standard, not a safety checkpoint."</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Consider adding</w:t>
      </w:r>
      <w:r>
        <w:rPr>
          <w:rFonts w:ascii="Segoe UI" w:cs="Segoe UI" w:eastAsia="Segoe UI" w:hAnsi="Segoe UI"/>
          <w:b w:val="false"/>
          <w:bCs w:val="false"/>
          <w:i w:val="false"/>
          <w:iCs w:val="false"/>
          <w:color w:val="444444"/>
          <w:sz w:val="19"/>
          <w:szCs w:val="19"/>
        </w:rPr>
        <w:t xml:space="preserve"> — "This is not only a technology problem. It is an organizational design problem."</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Be precise about modeled versus observed findings</w:t>
      </w:r>
      <w:r>
        <w:rPr>
          <w:rFonts w:ascii="Segoe UI" w:cs="Segoe UI" w:eastAsia="Segoe UI" w:hAnsi="Segoe UI"/>
          <w:b w:val="false"/>
          <w:bCs w:val="false"/>
          <w:i w:val="false"/>
          <w:iCs w:val="false"/>
          <w:color w:val="444444"/>
          <w:sz w:val="19"/>
          <w:szCs w:val="19"/>
        </w:rPr>
        <w:t xml:space="preserve"> — don't let the convergence gap read as an empirical fact if it's modeled.</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Avoid absolute claims</w:t>
      </w:r>
      <w:r>
        <w:rPr>
          <w:rFonts w:ascii="Segoe UI" w:cs="Segoe UI" w:eastAsia="Segoe UI" w:hAnsi="Segoe UI"/>
          <w:b w:val="false"/>
          <w:bCs w:val="false"/>
          <w:i w:val="false"/>
          <w:iCs w:val="false"/>
          <w:color w:val="444444"/>
          <w:sz w:val="19"/>
          <w:szCs w:val="19"/>
        </w:rPr>
        <w:t xml:space="preserve"> — "structurally impossible" and "nothing is a black box" — prefer language about making failure harder to occur, easier to detect, easier to challenge and contain; decision ownership and escalation staying visible.</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Clarify explicitly that H% is not a headcount-reduction metric</w:t>
      </w:r>
      <w:r>
        <w:rPr>
          <w:rFonts w:ascii="Segoe UI" w:cs="Segoe UI" w:eastAsia="Segoe UI" w:hAnsi="Segoe UI"/>
          <w:b w:val="false"/>
          <w:bCs w:val="false"/>
          <w:i w:val="false"/>
          <w:iCs w:val="false"/>
          <w:color w:val="444444"/>
          <w:sz w:val="19"/>
          <w:szCs w:val="19"/>
        </w:rPr>
        <w:t xml:space="preserve"> — the same point carried into the questions section below.</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Reconsider "optimal"</w:t>
      </w:r>
      <w:r>
        <w:rPr>
          <w:rFonts w:ascii="Segoe UI" w:cs="Segoe UI" w:eastAsia="Segoe UI" w:hAnsi="Segoe UI"/>
          <w:b w:val="false"/>
          <w:bCs w:val="false"/>
          <w:i w:val="false"/>
          <w:iCs w:val="false"/>
          <w:color w:val="444444"/>
          <w:sz w:val="19"/>
          <w:szCs w:val="19"/>
        </w:rPr>
        <w:t xml:space="preserve"> — in favor of "designed" or "appropriate," unless M3 is deliberately meant as a universal standard.</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Reframe the HAL 90%/10% example</w:t>
      </w:r>
      <w:r>
        <w:rPr>
          <w:rFonts w:ascii="Segoe UI" w:cs="Segoe UI" w:eastAsia="Segoe UI" w:hAnsi="Segoe UI"/>
          <w:b w:val="false"/>
          <w:bCs w:val="false"/>
          <w:i w:val="false"/>
          <w:iCs w:val="false"/>
          <w:color w:val="444444"/>
          <w:sz w:val="19"/>
          <w:szCs w:val="19"/>
        </w:rPr>
        <w:t xml:space="preserve"> — as describing how the framework was co-created, not a universal operating target. You proposed: "HAL was the warning. This framework is an attempt to build the answer."</w:t>
      </w:r>
    </w:p>
    <w:p>
      <w:pPr>
        <w:pBdr>
          <w:bottom w:val="single" w:color="DDE3EE" w:sz="4" w:space="6"/>
        </w:pBdr>
        <w:spacing w:after="140" w:before="340"/>
      </w:pPr>
      <w:r>
        <w:rPr>
          <w:rFonts w:ascii="Consolas" w:cs="Consolas" w:eastAsia="Consolas" w:hAnsi="Consolas"/>
          <w:b/>
          <w:bCs/>
          <w:color w:val="1B4F8A"/>
          <w:sz w:val="16"/>
          <w:szCs w:val="16"/>
          <w:shd w:fill="EEF3FA" w:val="clear"/>
        </w:rPr>
        <w:t xml:space="preserve"> 1 </w:t>
      </w:r>
      <w:r>
        <w:rPr>
          <w:sz w:val="16"/>
          <w:szCs w:val="16"/>
        </w:rPr>
        <w:t xml:space="preserve">   </w:t>
      </w:r>
      <w:r>
        <w:rPr>
          <w:rFonts w:ascii="Georgia" w:cs="Georgia" w:eastAsia="Georgia" w:hAnsi="Georgia"/>
          <w:b/>
          <w:bCs/>
          <w:color w:val="0D2D4F"/>
          <w:sz w:val="26"/>
          <w:szCs w:val="26"/>
        </w:rPr>
        <w:t xml:space="preserve">Your Questions, Our Answers, and the Options</w:t>
      </w:r>
    </w:p>
    <w:p>
      <w:pPr>
        <w:spacing w:after="70" w:before="220"/>
      </w:pPr>
      <w:r>
        <w:rPr>
          <w:rFonts w:ascii="Segoe UI" w:cs="Segoe UI" w:eastAsia="Segoe UI" w:hAnsi="Segoe UI"/>
          <w:b/>
          <w:bCs/>
          <w:i w:val="false"/>
          <w:iCs w:val="false"/>
          <w:color w:val="1B4F8A"/>
          <w:sz w:val="20"/>
          <w:szCs w:val="20"/>
        </w:rPr>
        <w:t xml:space="preserve">Where to start: what does H% actually measure?</w:t>
      </w:r>
    </w:p>
    <w:p>
      <w:pPr>
        <w:spacing w:after="90" w:before="0"/>
      </w:pPr>
      <w:r>
        <w:rPr>
          <w:rFonts w:ascii="Segoe UI" w:cs="Segoe UI" w:eastAsia="Segoe UI" w:hAnsi="Segoe UI"/>
          <w:b/>
          <w:bCs/>
          <w:i/>
          <w:iCs/>
          <w:color w:val="0D2D4F"/>
          <w:sz w:val="19"/>
          <w:szCs w:val="19"/>
        </w:rPr>
        <w:t xml:space="preserve">"What exactly does H% measure? ... Effort? Elapsed time? Task ownership? Decision authority? Cognitive contribution? FTE capacity? Number of steps?"</w:t>
      </w:r>
    </w:p>
    <w:p>
      <w:pPr>
        <w:spacing w:after="150" w:before="0"/>
      </w:pPr>
      <w:r>
        <w:rPr>
          <w:rFonts w:ascii="Segoe UI" w:cs="Segoe UI" w:eastAsia="Segoe UI" w:hAnsi="Segoe UI"/>
          <w:b w:val="false"/>
          <w:bCs w:val="false"/>
          <w:i w:val="false"/>
          <w:iCs w:val="false"/>
          <w:color w:val="444444"/>
          <w:sz w:val="19"/>
          <w:szCs w:val="19"/>
        </w:rPr>
        <w:t xml:space="preserve">This is really the question underneath several of the others, so it's worth starting here rather than burying it in the numbered list. You're right that we've never said out loud what H% is counting — the methodology material talks about "Current H%" and "Design Intent H%" per pattern, but it never names the unit. That's not a phrasing gap. It's a real one, and probably worth settling before we build much more on top of it.</w:t>
      </w:r>
    </w:p>
    <w:p>
      <w:pPr>
        <w:spacing w:after="150" w:before="0"/>
      </w:pPr>
      <w:r>
        <w:rPr>
          <w:rFonts w:ascii="Segoe UI" w:cs="Segoe UI" w:eastAsia="Segoe UI" w:hAnsi="Segoe UI"/>
          <w:b w:val="false"/>
          <w:bCs w:val="false"/>
          <w:i w:val="false"/>
          <w:iCs w:val="false"/>
          <w:color w:val="444444"/>
          <w:sz w:val="19"/>
          <w:szCs w:val="19"/>
        </w:rPr>
        <w:t xml:space="preserve">Here's a concrete way to see it. Say a role has 5 Knowledge-pattern activities, 2 Document, and 2 Transaction. Today, the pipeline works by figuring out each pattern's share of the total activity count — Knowledge comes out to about 56%, Document and Transaction about 22% each — and then blends each pattern's own human-involvement reference number (Knowledge runs about 80% human at baseline, 60% at Design Intent; Document 65%→35%; Transaction 45%→30%), weighted by that share. Do the math and you land around 69% human at baseline, 48% at Design Intent — a roughly 21-point gap, which lines up with the framework's real headline convergence figure.</w:t>
      </w:r>
    </w:p>
    <w:p>
      <w:pPr>
        <w:spacing w:after="150" w:before="0"/>
      </w:pPr>
      <w:r>
        <w:rPr>
          <w:rFonts w:ascii="Segoe UI" w:cs="Segoe UI" w:eastAsia="Segoe UI" w:hAnsi="Segoe UI"/>
          <w:b w:val="false"/>
          <w:bCs w:val="false"/>
          <w:i w:val="false"/>
          <w:iCs w:val="false"/>
          <w:color w:val="444444"/>
          <w:sz w:val="19"/>
          <w:szCs w:val="19"/>
        </w:rPr>
        <w:t xml:space="preserve">Here's the honest catch, and it's the same thing you're pointing at: every one of those 5 Knowledge activities counts identically in that math, whether it's a five-minute lookup or the most consequential judgment call in the role. The number tells us how much work is left. It doesn't tell us how much any of it matters.</w:t>
      </w:r>
    </w:p>
    <w:p>
      <w:pPr>
        <w:spacing w:after="70" w:before="220"/>
      </w:pPr>
      <w:r>
        <w:rPr>
          <w:rFonts w:ascii="Segoe UI" w:cs="Segoe UI" w:eastAsia="Segoe UI" w:hAnsi="Segoe UI"/>
          <w:b/>
          <w:bCs/>
          <w:i w:val="false"/>
          <w:iCs w:val="false"/>
          <w:color w:val="1B4F8A"/>
          <w:sz w:val="20"/>
          <w:szCs w:val="20"/>
        </w:rPr>
        <w:t xml:space="preserve">A few real ways we could define H% going forward:</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Keep counting activities, but say so plainly</w:t>
      </w:r>
      <w:r>
        <w:rPr>
          <w:rFonts w:ascii="Segoe UI" w:cs="Segoe UI" w:eastAsia="Segoe UI" w:hAnsi="Segoe UI"/>
          <w:b w:val="false"/>
          <w:bCs w:val="false"/>
          <w:i w:val="false"/>
          <w:iCs w:val="false"/>
          <w:color w:val="444444"/>
          <w:sz w:val="19"/>
          <w:szCs w:val="19"/>
        </w:rPr>
        <w:t xml:space="preserve"> — call it an "activity mix," not a stand-in for judgment or authority, and stop letting readers assume it's more than that.</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Anchor it to decision authority instead</w:t>
      </w:r>
      <w:r>
        <w:rPr>
          <w:rFonts w:ascii="Segoe UI" w:cs="Segoe UI" w:eastAsia="Segoe UI" w:hAnsi="Segoe UI"/>
          <w:b w:val="false"/>
          <w:bCs w:val="false"/>
          <w:i w:val="false"/>
          <w:iCs w:val="false"/>
          <w:color w:val="444444"/>
          <w:sz w:val="19"/>
          <w:szCs w:val="19"/>
        </w:rPr>
        <w:t xml:space="preserve"> — tie H% to who holds Accountable in the RACI sense, so the number tracks retained authority rather than raw task count. This is where we'd lean, since it puts the metric and the framework's own central claim — AI can redistribute work, it cannot redistribute accountability — on the same footing.</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Weight it by judgment, not by count</w:t>
      </w:r>
      <w:r>
        <w:rPr>
          <w:rFonts w:ascii="Segoe UI" w:cs="Segoe UI" w:eastAsia="Segoe UI" w:hAnsi="Segoe UI"/>
          <w:b w:val="false"/>
          <w:bCs w:val="false"/>
          <w:i w:val="false"/>
          <w:iCs w:val="false"/>
          <w:color w:val="444444"/>
          <w:sz w:val="19"/>
          <w:szCs w:val="19"/>
        </w:rPr>
        <w:t xml:space="preserve"> — give Decision- and Exception-pattern activities more pull in the blend than Transaction-pattern ones. Real design work, but closer to what the number is trying to mean.</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Weight it by effort or FTE-hours</w:t>
      </w:r>
      <w:r>
        <w:rPr>
          <w:rFonts w:ascii="Segoe UI" w:cs="Segoe UI" w:eastAsia="Segoe UI" w:hAnsi="Segoe UI"/>
          <w:b w:val="false"/>
          <w:bCs w:val="false"/>
          <w:i w:val="false"/>
          <w:iCs w:val="false"/>
          <w:color w:val="444444"/>
          <w:sz w:val="19"/>
          <w:szCs w:val="19"/>
        </w:rPr>
        <w:t xml:space="preserve">  — the most intuitive read for an executive, and also the version we'd both want to avoid leading with, since it's the one most likely to get misread as a headcount number.</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EEF3FA" w:val="clear"/>
            <w:tcMar>
              <w:top w:type="dxa" w:w="160"/>
              <w:left w:type="dxa" w:w="220"/>
              <w:bottom w:type="dxa" w:w="160"/>
              <w:right w:type="dxa" w:w="220"/>
            </w:tcMar>
          </w:tcPr>
          <w:p>
            <w:pPr>
              <w:spacing w:after="0" w:before="0"/>
              <w:jc w:val="center"/>
            </w:pPr>
            <w:r>
              <w:rPr>
                <w:rFonts w:ascii="Georgia" w:cs="Georgia" w:eastAsia="Georgia" w:hAnsi="Georgia"/>
                <w:b/>
                <w:bCs/>
                <w:i/>
                <w:iCs/>
                <w:color w:val="0D2D4F"/>
                <w:sz w:val="21"/>
                <w:szCs w:val="21"/>
              </w:rPr>
              <w:t xml:space="preserve">"It shouldn't read as "X% fewer people." The framework already treats a growing human-involvement gap as a risk signal, not a savings opportunity."</w:t>
            </w:r>
          </w:p>
        </w:tc>
      </w:tr>
    </w:tbl>
    <w:p>
      <w:pPr>
        <w:spacing w:after="160"/>
      </w:pPr>
    </w:p>
    <w:p>
      <w:pPr>
        <w:spacing w:after="70" w:before="220"/>
      </w:pPr>
      <w:r>
        <w:rPr>
          <w:rFonts w:ascii="Segoe UI" w:cs="Segoe UI" w:eastAsia="Segoe UI" w:hAnsi="Segoe UI"/>
          <w:b/>
          <w:bCs/>
          <w:i w:val="false"/>
          <w:iCs w:val="false"/>
          <w:color w:val="1B4F8A"/>
          <w:sz w:val="20"/>
          <w:szCs w:val="20"/>
        </w:rPr>
        <w:t xml:space="preserve">1. "When we use H%, what exactly are we measuring — and what do we explicitly not want executives to infer from it?"</w:t>
      </w:r>
    </w:p>
    <w:p>
      <w:pPr>
        <w:spacing w:after="150" w:before="0"/>
      </w:pPr>
      <w:r>
        <w:rPr>
          <w:rFonts w:ascii="Segoe UI" w:cs="Segoe UI" w:eastAsia="Segoe UI" w:hAnsi="Segoe UI"/>
          <w:b w:val="false"/>
          <w:bCs w:val="false"/>
          <w:i w:val="false"/>
          <w:iCs w:val="false"/>
          <w:color w:val="444444"/>
          <w:sz w:val="19"/>
          <w:szCs w:val="19"/>
        </w:rPr>
        <w:t xml:space="preserve">The second half of this is the "not up for debate" point above — already a real, standing position, not just a hope. The first half is the open question we just walked through together above.</w:t>
      </w:r>
    </w:p>
    <w:p>
      <w:pPr>
        <w:spacing w:after="70" w:before="220"/>
      </w:pPr>
      <w:r>
        <w:rPr>
          <w:rFonts w:ascii="Segoe UI" w:cs="Segoe UI" w:eastAsia="Segoe UI" w:hAnsi="Segoe UI"/>
          <w:b/>
          <w:bCs/>
          <w:i w:val="false"/>
          <w:iCs w:val="false"/>
          <w:color w:val="1B4F8A"/>
          <w:sz w:val="20"/>
          <w:szCs w:val="20"/>
        </w:rPr>
        <w:t xml:space="preserve">2. "Is the 20-25 point convergence gap modeled from the maturity assumptions, or based on observed organizational data?"</w:t>
      </w:r>
    </w:p>
    <w:p>
      <w:pPr>
        <w:spacing w:after="150" w:before="0"/>
      </w:pPr>
      <w:r>
        <w:rPr>
          <w:rFonts w:ascii="Segoe UI" w:cs="Segoe UI" w:eastAsia="Segoe UI" w:hAnsi="Segoe UI"/>
          <w:b w:val="false"/>
          <w:bCs w:val="false"/>
          <w:i w:val="false"/>
          <w:iCs w:val="false"/>
          <w:color w:val="444444"/>
          <w:sz w:val="19"/>
          <w:szCs w:val="19"/>
        </w:rPr>
        <w:t xml:space="preserve">This one has a clean answer: modeled, not observed. It's the comparison between the current baseline and the Design Intent target, run per pattern and rolled up — and there's already an explicit internal note saying plainly that these are informed estimates, not something validated at scale. One thing worth flagging to each other while we're at it: the real, corrected enterprise-wide figure now runs closer to 18–20 points, not the 20-25 the site text currently says — that copy is probably just stale and worth a quick fix regardless of anything else we decide here.</w:t>
      </w:r>
    </w:p>
    <w:p>
      <w:pPr>
        <w:spacing w:after="70" w:before="220"/>
      </w:pPr>
      <w:r>
        <w:rPr>
          <w:rFonts w:ascii="Segoe UI" w:cs="Segoe UI" w:eastAsia="Segoe UI" w:hAnsi="Segoe UI"/>
          <w:b/>
          <w:bCs/>
          <w:i w:val="false"/>
          <w:iCs w:val="false"/>
          <w:color w:val="1B4F8A"/>
          <w:sz w:val="20"/>
          <w:szCs w:val="20"/>
        </w:rPr>
        <w:t xml:space="preserve">3. "Is M3 meant to be a universal design target, or does organizational context alter the appropriate target?"</w:t>
      </w:r>
    </w:p>
    <w:p>
      <w:pPr>
        <w:spacing w:after="150" w:before="0"/>
      </w:pPr>
      <w:r>
        <w:rPr>
          <w:rFonts w:ascii="Segoe UI" w:cs="Segoe UI" w:eastAsia="Segoe UI" w:hAnsi="Segoe UI"/>
          <w:b w:val="false"/>
          <w:bCs w:val="false"/>
          <w:i w:val="false"/>
          <w:iCs w:val="false"/>
          <w:color w:val="444444"/>
          <w:sz w:val="19"/>
          <w:szCs w:val="19"/>
        </w:rPr>
        <w:t xml:space="preserve">Right now, in practice, M3 is one universal curve applied the same way to every role — which is worth being honest about, since it's not quite what "design intent" implies. At the same time, wherever we've actually built real RACI data for a role, that real data already overrides the generic curve. So the instinct is already half-built into how we work; it's just never been named as the policy.</w:t>
      </w:r>
    </w:p>
    <w:p>
      <w:pPr>
        <w:spacing w:after="70" w:before="220"/>
      </w:pPr>
      <w:r>
        <w:rPr>
          <w:rFonts w:ascii="Segoe UI" w:cs="Segoe UI" w:eastAsia="Segoe UI" w:hAnsi="Segoe UI"/>
          <w:b/>
          <w:bCs/>
          <w:i w:val="false"/>
          <w:iCs w:val="false"/>
          <w:color w:val="1B4F8A"/>
          <w:sz w:val="20"/>
          <w:szCs w:val="20"/>
        </w:rPr>
        <w:t xml:space="preserve">A few ways to think about this together:</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Keep it fully universal</w:t>
      </w:r>
      <w:r>
        <w:rPr>
          <w:rFonts w:ascii="Segoe UI" w:cs="Segoe UI" w:eastAsia="Segoe UI" w:hAnsi="Segoe UI"/>
          <w:b w:val="false"/>
          <w:bCs w:val="false"/>
          <w:i w:val="false"/>
          <w:iCs w:val="false"/>
          <w:color w:val="444444"/>
          <w:sz w:val="19"/>
          <w:szCs w:val="19"/>
        </w:rPr>
        <w:t xml:space="preserve"> — and say so — one reference curve, positioned explicitly as a baseline rather than a claim about what's "optimal" for every context.</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Let real data lead, generic curve as fallback</w:t>
      </w:r>
      <w:r>
        <w:rPr>
          <w:rFonts w:ascii="Segoe UI" w:cs="Segoe UI" w:eastAsia="Segoe UI" w:hAnsi="Segoe UI"/>
          <w:b w:val="false"/>
          <w:bCs w:val="false"/>
          <w:i w:val="false"/>
          <w:iCs w:val="false"/>
          <w:color w:val="444444"/>
          <w:sz w:val="19"/>
          <w:szCs w:val="19"/>
        </w:rPr>
        <w:t xml:space="preserve"> — this is closest to what already happens; it mostly just needs naming rather than building.</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Domain-level curves</w:t>
      </w:r>
      <w:r>
        <w:rPr>
          <w:rFonts w:ascii="Segoe UI" w:cs="Segoe UI" w:eastAsia="Segoe UI" w:hAnsi="Segoe UI"/>
          <w:b w:val="false"/>
          <w:bCs w:val="false"/>
          <w:i w:val="false"/>
          <w:iCs w:val="false"/>
          <w:color w:val="444444"/>
          <w:sz w:val="19"/>
          <w:szCs w:val="19"/>
        </w:rPr>
        <w:t xml:space="preserve"> — HR, IT, and Finance each get their own reference curve rather than sharing one.</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 context-adjustment layer</w:t>
      </w:r>
      <w:r>
        <w:rPr>
          <w:rFonts w:ascii="Segoe UI" w:cs="Segoe UI" w:eastAsia="Segoe UI" w:hAnsi="Segoe UI"/>
          <w:b w:val="false"/>
          <w:bCs w:val="false"/>
          <w:i w:val="false"/>
          <w:iCs w:val="false"/>
          <w:color w:val="444444"/>
          <w:sz w:val="19"/>
          <w:szCs w:val="19"/>
        </w:rPr>
        <w:t xml:space="preserve"> — regulation, risk tolerance, workforce capability shift the curve per organization. More design work, but probably the right long-term shape if this framework is ever licensed out rather than used just here.</w:t>
      </w:r>
    </w:p>
    <w:p>
      <w:pPr>
        <w:spacing w:after="150" w:before="0"/>
      </w:pPr>
      <w:r>
        <w:rPr>
          <w:rFonts w:ascii="Segoe UI" w:cs="Segoe UI" w:eastAsia="Segoe UI" w:hAnsi="Segoe UI"/>
          <w:b w:val="false"/>
          <w:bCs w:val="false"/>
          <w:i w:val="false"/>
          <w:iCs w:val="false"/>
          <w:color w:val="444444"/>
          <w:sz w:val="19"/>
          <w:szCs w:val="19"/>
        </w:rPr>
        <w:t xml:space="preserve">Your instinct that "optimal" may be too strong a word is probably right either way — "designed" or "appropriate" holds up better until we've actually built something that adjusts for context.</w:t>
      </w:r>
    </w:p>
    <w:p>
      <w:pPr>
        <w:spacing w:after="70" w:before="220"/>
      </w:pPr>
      <w:r>
        <w:rPr>
          <w:rFonts w:ascii="Segoe UI" w:cs="Segoe UI" w:eastAsia="Segoe UI" w:hAnsi="Segoe UI"/>
          <w:b/>
          <w:bCs/>
          <w:i w:val="false"/>
          <w:iCs w:val="false"/>
          <w:color w:val="1B4F8A"/>
          <w:sz w:val="20"/>
          <w:szCs w:val="20"/>
        </w:rPr>
        <w:t xml:space="preserve">4. "Where do L4 activities materially break from the inherited L3 RACI?"</w:t>
      </w:r>
    </w:p>
    <w:p>
      <w:pPr>
        <w:spacing w:after="150" w:before="0"/>
      </w:pPr>
      <w:r>
        <w:rPr>
          <w:rFonts w:ascii="Segoe UI" w:cs="Segoe UI" w:eastAsia="Segoe UI" w:hAnsi="Segoe UI"/>
          <w:b w:val="false"/>
          <w:bCs w:val="false"/>
          <w:i w:val="false"/>
          <w:iCs w:val="false"/>
          <w:color w:val="444444"/>
          <w:sz w:val="19"/>
          <w:szCs w:val="19"/>
        </w:rPr>
        <w:t xml:space="preserve">Yes — and we can point to exactly where: Payroll (7.5.4), where Accountable is scoped to the HR-owned slice only, Finance owns the rest outside the framework's view; and Global Mobility (7.6.3), where HRBP Manager holds Accountable but only partially, since no specialist role exists yet to take full ownership. Both are handled today as manual, footnoted overrides rather than anything systematic. Your instinct — L3 as the baseline, with L4 activities that materially change accountability getting an explicit override — is basically already how we've been handling these two cases by hand. Probably worth naming it as a real mechanism rather than two one-off patches.</w:t>
      </w:r>
    </w:p>
    <w:p>
      <w:pPr>
        <w:spacing w:after="70" w:before="220"/>
      </w:pPr>
      <w:r>
        <w:rPr>
          <w:rFonts w:ascii="Segoe UI" w:cs="Segoe UI" w:eastAsia="Segoe UI" w:hAnsi="Segoe UI"/>
          <w:b/>
          <w:bCs/>
          <w:i w:val="false"/>
          <w:iCs w:val="false"/>
          <w:color w:val="1B4F8A"/>
          <w:sz w:val="20"/>
          <w:szCs w:val="20"/>
        </w:rPr>
        <w:t xml:space="preserve">5. "Can we identify why human involvement remains — judgment, empathy, legal accountability, risk, authority, exception handling — rather than only how much remains?"</w:t>
      </w:r>
    </w:p>
    <w:p>
      <w:pPr>
        <w:spacing w:after="150" w:before="0"/>
      </w:pPr>
      <w:r>
        <w:rPr>
          <w:rFonts w:ascii="Segoe UI" w:cs="Segoe UI" w:eastAsia="Segoe UI" w:hAnsi="Segoe UI"/>
          <w:b w:val="false"/>
          <w:bCs w:val="false"/>
          <w:i w:val="false"/>
          <w:iCs w:val="false"/>
          <w:color w:val="444444"/>
          <w:sz w:val="19"/>
          <w:szCs w:val="19"/>
        </w:rPr>
        <w:t xml:space="preserve">This is a real, currently-missing layer, and "Human Criticality" is a good name for something that's been circling without one. Today the framework can tell you what kind of work remains and who's accountable for it, but not why a human needs to be there at all.</w:t>
      </w:r>
    </w:p>
    <w:p>
      <w:pPr>
        <w:spacing w:after="70" w:before="220"/>
      </w:pPr>
      <w:r>
        <w:rPr>
          <w:rFonts w:ascii="Segoe UI" w:cs="Segoe UI" w:eastAsia="Segoe UI" w:hAnsi="Segoe UI"/>
          <w:b/>
          <w:bCs/>
          <w:i w:val="false"/>
          <w:iCs w:val="false"/>
          <w:color w:val="1B4F8A"/>
          <w:sz w:val="20"/>
          <w:szCs w:val="20"/>
        </w:rPr>
        <w:t xml:space="preserve">A few ways we could build toward an answer:</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Tag each activity with a reason</w:t>
      </w:r>
      <w:r>
        <w:rPr>
          <w:rFonts w:ascii="Segoe UI" w:cs="Segoe UI" w:eastAsia="Segoe UI" w:hAnsi="Segoe UI"/>
          <w:b w:val="false"/>
          <w:bCs w:val="false"/>
          <w:i w:val="false"/>
          <w:iCs w:val="false"/>
          <w:color w:val="444444"/>
          <w:sz w:val="19"/>
          <w:szCs w:val="19"/>
        </w:rPr>
        <w:t xml:space="preserve"> — a short vocabulary (judgment, empathy, legal/regulatory accountability, risk, exception authority) attached alongside the existing pattern classification. Most complete, but a real hand-classification effort across the whole dataset.</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Infer it from what we already have</w:t>
      </w:r>
      <w:r>
        <w:rPr>
          <w:rFonts w:ascii="Segoe UI" w:cs="Segoe UI" w:eastAsia="Segoe UI" w:hAnsi="Segoe UI"/>
          <w:b w:val="false"/>
          <w:bCs w:val="false"/>
          <w:i w:val="false"/>
          <w:iCs w:val="false"/>
          <w:color w:val="444444"/>
          <w:sz w:val="19"/>
          <w:szCs w:val="19"/>
        </w:rPr>
        <w:t xml:space="preserve"> — a Decision-pattern activity with an escalation point probably means authority; an Exception-pattern one probably means risk. Cheaper, but too blunt to separate empathy from legal exposure within the same pattern.</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Let this live on your side, as narrative rather than data</w:t>
      </w:r>
      <w:r>
        <w:rPr>
          <w:rFonts w:ascii="Segoe UI" w:cs="Segoe UI" w:eastAsia="Segoe UI" w:hAnsi="Segoe UI"/>
          <w:b w:val="false"/>
          <w:bCs w:val="false"/>
          <w:i w:val="false"/>
          <w:iCs w:val="false"/>
          <w:color w:val="444444"/>
          <w:sz w:val="19"/>
          <w:szCs w:val="19"/>
        </w:rPr>
        <w:t xml:space="preserve"> — part of the Readiness work rather than a new structured field on the process side.</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 hybrid</w:t>
      </w:r>
      <w:r>
        <w:rPr>
          <w:rFonts w:ascii="Segoe UI" w:cs="Segoe UI" w:eastAsia="Segoe UI" w:hAnsi="Segoe UI"/>
          <w:b w:val="false"/>
          <w:bCs w:val="false"/>
          <w:i w:val="false"/>
          <w:iCs w:val="false"/>
          <w:color w:val="444444"/>
          <w:sz w:val="19"/>
          <w:szCs w:val="19"/>
        </w:rPr>
        <w:t xml:space="preserve"> — tag only the highest-stakes activities (Decision, Exception), and let the narrative depth come from you where it matters most.</w:t>
      </w:r>
    </w:p>
    <w:p>
      <w:pPr>
        <w:spacing w:after="150" w:before="0"/>
      </w:pPr>
      <w:r>
        <w:rPr>
          <w:rFonts w:ascii="Segoe UI" w:cs="Segoe UI" w:eastAsia="Segoe UI" w:hAnsi="Segoe UI"/>
          <w:b w:val="false"/>
          <w:bCs w:val="false"/>
          <w:i/>
          <w:iCs/>
          <w:color w:val="888888"/>
          <w:sz w:val="17"/>
          <w:szCs w:val="17"/>
        </w:rPr>
        <w:t xml:space="preserve">The hybrid feels like the natural middle ground — real signal without hand-tagging everything, and it puts the qualitative half where it already belongs.</w:t>
      </w:r>
    </w:p>
    <w:p>
      <w:pPr>
        <w:spacing w:after="70" w:before="220"/>
      </w:pPr>
      <w:r>
        <w:rPr>
          <w:rFonts w:ascii="Segoe UI" w:cs="Segoe UI" w:eastAsia="Segoe UI" w:hAnsi="Segoe UI"/>
          <w:b/>
          <w:bCs/>
          <w:i w:val="false"/>
          <w:iCs w:val="false"/>
          <w:color w:val="1B4F8A"/>
          <w:sz w:val="20"/>
          <w:szCs w:val="20"/>
        </w:rPr>
        <w:t xml:space="preserve">6. "Should consequence of error influence the required human-control level?"</w:t>
      </w:r>
    </w:p>
    <w:p>
      <w:pPr>
        <w:spacing w:after="150" w:before="0"/>
      </w:pPr>
      <w:r>
        <w:rPr>
          <w:rFonts w:ascii="Segoe UI" w:cs="Segoe UI" w:eastAsia="Segoe UI" w:hAnsi="Segoe UI"/>
          <w:b w:val="false"/>
          <w:bCs w:val="false"/>
          <w:i w:val="false"/>
          <w:iCs w:val="false"/>
          <w:color w:val="444444"/>
          <w:sz w:val="19"/>
          <w:szCs w:val="19"/>
        </w:rPr>
        <w:t xml:space="preserve">Nothing like this exists today — every Decision-pattern activity is treated identically regardless of what's actually at stake, and your own example (a training-course recommendation vs. a termination decision) makes the gap obvious. This pairs naturally with the question above; the two would probably get designed together rather than separately.</w:t>
      </w:r>
    </w:p>
    <w:p>
      <w:pPr>
        <w:spacing w:after="70" w:before="220"/>
      </w:pPr>
      <w:r>
        <w:rPr>
          <w:rFonts w:ascii="Segoe UI" w:cs="Segoe UI" w:eastAsia="Segoe UI" w:hAnsi="Segoe UI"/>
          <w:b/>
          <w:bCs/>
          <w:i w:val="false"/>
          <w:iCs w:val="false"/>
          <w:color w:val="1B4F8A"/>
          <w:sz w:val="20"/>
          <w:szCs w:val="20"/>
        </w:rPr>
        <w:t xml:space="preserve">A few ways to build a consequence axis:</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 four-tier scale (Low/Moderate/High/Critical)</w:t>
      </w:r>
      <w:r>
        <w:rPr>
          <w:rFonts w:ascii="Segoe UI" w:cs="Segoe UI" w:eastAsia="Segoe UI" w:hAnsi="Segoe UI"/>
          <w:b w:val="false"/>
          <w:bCs w:val="false"/>
          <w:i w:val="false"/>
          <w:iCs w:val="false"/>
          <w:color w:val="444444"/>
          <w:sz w:val="19"/>
          <w:szCs w:val="19"/>
        </w:rPr>
        <w:t xml:space="preserve"> — hand-classified per activity — matches your own suggested shape directly.</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Derive it from escalation depth</w:t>
      </w:r>
      <w:r>
        <w:rPr>
          <w:rFonts w:ascii="Segoe UI" w:cs="Segoe UI" w:eastAsia="Segoe UI" w:hAnsi="Segoe UI"/>
          <w:b w:val="false"/>
          <w:bCs w:val="false"/>
          <w:i w:val="false"/>
          <w:iCs w:val="false"/>
          <w:color w:val="444444"/>
          <w:sz w:val="19"/>
          <w:szCs w:val="19"/>
        </w:rPr>
        <w:t xml:space="preserve"> — activities with no governance escalation default to lower consequence, activities escalating to the executive tier default to higher. Reuses data we already have.</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Derive it from pattern type alone</w:t>
      </w:r>
      <w:r>
        <w:rPr>
          <w:rFonts w:ascii="Segoe UI" w:cs="Segoe UI" w:eastAsia="Segoe UI" w:hAnsi="Segoe UI"/>
          <w:b w:val="false"/>
          <w:bCs w:val="false"/>
          <w:i w:val="false"/>
          <w:iCs w:val="false"/>
          <w:color w:val="444444"/>
          <w:sz w:val="19"/>
          <w:szCs w:val="19"/>
        </w:rPr>
        <w:t xml:space="preserve"> — a blunt default (Decision/Exception = higher stakes). Cheapest, but your own example shows why it's not accurate enough on its own.</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 computed default with manual override</w:t>
      </w:r>
      <w:r>
        <w:rPr>
          <w:rFonts w:ascii="Segoe UI" w:cs="Segoe UI" w:eastAsia="Segoe UI" w:hAnsi="Segoe UI"/>
          <w:b w:val="false"/>
          <w:bCs w:val="false"/>
          <w:i w:val="false"/>
          <w:iCs w:val="false"/>
          <w:color w:val="444444"/>
          <w:sz w:val="19"/>
          <w:szCs w:val="19"/>
        </w:rPr>
        <w:t xml:space="preserve"> — start from the escalation-depth default, correct by hand only where it's clearly wrong. Same mechanism as the L3/L4 override idea above — it's nice when one idea covers two gaps.</w:t>
      </w:r>
    </w:p>
    <w:p>
      <w:pPr>
        <w:spacing w:after="70" w:before="220"/>
      </w:pPr>
      <w:r>
        <w:rPr>
          <w:rFonts w:ascii="Segoe UI" w:cs="Segoe UI" w:eastAsia="Segoe UI" w:hAnsi="Segoe UI"/>
          <w:b/>
          <w:bCs/>
          <w:i w:val="false"/>
          <w:iCs w:val="false"/>
          <w:color w:val="1B4F8A"/>
          <w:sz w:val="20"/>
          <w:szCs w:val="20"/>
        </w:rPr>
        <w:t xml:space="preserve">7. "How do we distinguish human presence from meaningful human control?"</w:t>
      </w:r>
    </w:p>
    <w:p>
      <w:pPr>
        <w:spacing w:after="150" w:before="0"/>
      </w:pPr>
      <w:r>
        <w:rPr>
          <w:rFonts w:ascii="Segoe UI" w:cs="Segoe UI" w:eastAsia="Segoe UI" w:hAnsi="Segoe UI"/>
          <w:b w:val="false"/>
          <w:bCs w:val="false"/>
          <w:i w:val="false"/>
          <w:iCs w:val="false"/>
          <w:color w:val="444444"/>
          <w:sz w:val="19"/>
          <w:szCs w:val="19"/>
        </w:rPr>
        <w:t xml:space="preserve">RACI tells us who's present — who's R, A, C, or I — but nothing about whether that person actually has the standing, confidence, or authority to exercise real judgment. This is, honestly, the whole reason the Readiness Table exists as an idea rather than a shipped feature: it's been sitting there waiting on the eight dimensions you proposed yourself — trust, psychological safety, role clarity, leadership readiness, change capacity, decision confidence, sustainable workload, accountability. This question isn't really a new ask. It's the case for finishing the work already agreed to be yours to lead.</w:t>
      </w:r>
    </w:p>
    <w:p>
      <w:pPr>
        <w:spacing w:after="70" w:before="220"/>
      </w:pPr>
      <w:r>
        <w:rPr>
          <w:rFonts w:ascii="Segoe UI" w:cs="Segoe UI" w:eastAsia="Segoe UI" w:hAnsi="Segoe UI"/>
          <w:b/>
          <w:bCs/>
          <w:i w:val="false"/>
          <w:iCs w:val="false"/>
          <w:color w:val="1B4F8A"/>
          <w:sz w:val="20"/>
          <w:szCs w:val="20"/>
        </w:rPr>
        <w:t xml:space="preserve">A few ways we could shape it:</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Build your eight dimensions as-is</w:t>
      </w:r>
      <w:r>
        <w:rPr>
          <w:rFonts w:ascii="Segoe UI" w:cs="Segoe UI" w:eastAsia="Segoe UI" w:hAnsi="Segoe UI"/>
          <w:b w:val="false"/>
          <w:bCs w:val="false"/>
          <w:i w:val="false"/>
          <w:iCs w:val="false"/>
          <w:color w:val="444444"/>
          <w:sz w:val="19"/>
          <w:szCs w:val="19"/>
        </w:rPr>
        <w:t xml:space="preserve"> — into the Readiness Table's structure — no redesign needed, just building what's already agreed.</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 simple confirmed/not-confirmed flag</w:t>
      </w:r>
      <w:r>
        <w:rPr>
          <w:rFonts w:ascii="Segoe UI" w:cs="Segoe UI" w:eastAsia="Segoe UI" w:hAnsi="Segoe UI"/>
          <w:b w:val="false"/>
          <w:bCs w:val="false"/>
          <w:i w:val="false"/>
          <w:iCs w:val="false"/>
          <w:color w:val="444444"/>
          <w:sz w:val="19"/>
          <w:szCs w:val="19"/>
        </w:rPr>
        <w:t xml:space="preserve"> — per role — faster to ship, but loses any sense of degree.</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 composite score across the eight dimensions</w:t>
      </w:r>
      <w:r>
        <w:rPr>
          <w:rFonts w:ascii="Segoe UI" w:cs="Segoe UI" w:eastAsia="Segoe UI" w:hAnsi="Segoe UI"/>
          <w:b w:val="false"/>
          <w:bCs w:val="false"/>
          <w:i w:val="false"/>
          <w:iCs w:val="false"/>
          <w:color w:val="444444"/>
          <w:sz w:val="19"/>
          <w:szCs w:val="19"/>
        </w:rPr>
        <w:t xml:space="preserve"> — sitting alongside the existing Role Impact Table — comparable across roles, but needs a real instrument (survey, interview) to populate, which is the actual blocker either way.</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Narrative only, no scoring</w:t>
      </w:r>
      <w:r>
        <w:rPr>
          <w:rFonts w:ascii="Segoe UI" w:cs="Segoe UI" w:eastAsia="Segoe UI" w:hAnsi="Segoe UI"/>
          <w:b w:val="false"/>
          <w:bCs w:val="false"/>
          <w:i w:val="false"/>
          <w:iCs w:val="false"/>
          <w:color w:val="444444"/>
          <w:sz w:val="19"/>
          <w:szCs w:val="19"/>
        </w:rPr>
        <w:t xml:space="preserve"> — qualitative write-ups per role, fastest to start, hardest to compare side by side.</w:t>
      </w:r>
    </w:p>
    <w:p>
      <w:pPr>
        <w:spacing w:after="150" w:before="0"/>
      </w:pPr>
      <w:r>
        <w:rPr>
          <w:rFonts w:ascii="Segoe UI" w:cs="Segoe UI" w:eastAsia="Segoe UI" w:hAnsi="Segoe UI"/>
          <w:b w:val="false"/>
          <w:bCs w:val="false"/>
          <w:i/>
          <w:iCs/>
          <w:color w:val="888888"/>
          <w:sz w:val="17"/>
          <w:szCs w:val="17"/>
        </w:rPr>
        <w:t xml:space="preserve">Probably: your eight dimensions as the structure now, with a composite score as the natural next layer once there's an instrument to feed it. Less a new decision, more a matter of sequencing.</w:t>
      </w:r>
    </w:p>
    <w:p>
      <w:pPr>
        <w:spacing w:after="70" w:before="220"/>
      </w:pPr>
      <w:r>
        <w:rPr>
          <w:rFonts w:ascii="Segoe UI" w:cs="Segoe UI" w:eastAsia="Segoe UI" w:hAnsi="Segoe UI"/>
          <w:b/>
          <w:bCs/>
          <w:i w:val="false"/>
          <w:iCs w:val="false"/>
          <w:color w:val="1B4F8A"/>
          <w:sz w:val="20"/>
          <w:szCs w:val="20"/>
        </w:rPr>
        <w:t xml:space="preserve">8. "What readiness conditions must be true before an organization moves from one maturity level to another?"</w:t>
      </w:r>
    </w:p>
    <w:p>
      <w:pPr>
        <w:spacing w:after="150" w:before="0"/>
      </w:pPr>
      <w:r>
        <w:rPr>
          <w:rFonts w:ascii="Segoe UI" w:cs="Segoe UI" w:eastAsia="Segoe UI" w:hAnsi="Segoe UI"/>
          <w:b w:val="false"/>
          <w:bCs w:val="false"/>
          <w:i w:val="false"/>
          <w:iCs w:val="false"/>
          <w:color w:val="444444"/>
          <w:sz w:val="19"/>
          <w:szCs w:val="19"/>
        </w:rPr>
        <w:t xml:space="preserve">Right now, moving from one maturity level to the next is just a target curve — nothing actually checks whether an organization is ready to make that move. Your own Workforce Validation Gate idea (see below) is the closest thing that exists to an answer already.</w:t>
      </w:r>
    </w:p>
    <w:p>
      <w:pPr>
        <w:spacing w:after="70" w:before="220"/>
      </w:pPr>
      <w:r>
        <w:rPr>
          <w:rFonts w:ascii="Segoe UI" w:cs="Segoe UI" w:eastAsia="Segoe UI" w:hAnsi="Segoe UI"/>
          <w:b/>
          <w:bCs/>
          <w:i w:val="false"/>
          <w:iCs w:val="false"/>
          <w:color w:val="1B4F8A"/>
          <w:sz w:val="20"/>
          <w:szCs w:val="20"/>
        </w:rPr>
        <w:t xml:space="preserve">A few shapes this could take:</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 hard gate</w:t>
      </w:r>
      <w:r>
        <w:rPr>
          <w:rFonts w:ascii="Segoe UI" w:cs="Segoe UI" w:eastAsia="Segoe UI" w:hAnsi="Segoe UI"/>
          <w:b w:val="false"/>
          <w:bCs w:val="false"/>
          <w:i w:val="false"/>
          <w:iCs w:val="false"/>
          <w:color w:val="444444"/>
          <w:sz w:val="19"/>
          <w:szCs w:val="19"/>
        </w:rPr>
        <w:t xml:space="preserve"> — can't be marked at a level until a checklist of conditions is confirmed. Clean in principle, but there's nothing built yet to check against.</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 soft flag</w:t>
      </w:r>
      <w:r>
        <w:rPr>
          <w:rFonts w:ascii="Segoe UI" w:cs="Segoe UI" w:eastAsia="Segoe UI" w:hAnsi="Segoe UI"/>
          <w:b w:val="false"/>
          <w:bCs w:val="false"/>
          <w:i w:val="false"/>
          <w:iCs w:val="false"/>
          <w:color w:val="444444"/>
          <w:sz w:val="19"/>
          <w:szCs w:val="19"/>
        </w:rPr>
        <w:t xml:space="preserve"> — track progress either way, but visibly distinguish "claimed" maturity from "readiness-confirmed" maturity. Non-blocking, and probably the more realistic starting point.</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Use your own seven questions directly</w:t>
      </w:r>
      <w:r>
        <w:rPr>
          <w:rFonts w:ascii="Segoe UI" w:cs="Segoe UI" w:eastAsia="Segoe UI" w:hAnsi="Segoe UI"/>
          <w:b w:val="false"/>
          <w:bCs w:val="false"/>
          <w:i w:val="false"/>
          <w:iCs w:val="false"/>
          <w:color w:val="444444"/>
          <w:sz w:val="19"/>
          <w:szCs w:val="19"/>
        </w:rPr>
        <w:t xml:space="preserve"> — as the check-in run at each transition, rather than inventing new criteria from nothing.</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Tie it to the Readiness Table dimensions</w:t>
      </w:r>
      <w:r>
        <w:rPr>
          <w:rFonts w:ascii="Segoe UI" w:cs="Segoe UI" w:eastAsia="Segoe UI" w:hAnsi="Segoe UI"/>
          <w:b w:val="false"/>
          <w:bCs w:val="false"/>
          <w:i w:val="false"/>
          <w:iCs w:val="false"/>
          <w:color w:val="444444"/>
          <w:sz w:val="19"/>
          <w:szCs w:val="19"/>
        </w:rPr>
        <w:t xml:space="preserve"> — from the question above, once built — quantitative, but depends on that work landing first.</w:t>
      </w:r>
    </w:p>
    <w:p>
      <w:pPr>
        <w:spacing w:after="150" w:before="0"/>
      </w:pPr>
      <w:r>
        <w:rPr>
          <w:rFonts w:ascii="Segoe UI" w:cs="Segoe UI" w:eastAsia="Segoe UI" w:hAnsi="Segoe UI"/>
          <w:b w:val="false"/>
          <w:bCs w:val="false"/>
          <w:i/>
          <w:iCs/>
          <w:color w:val="888888"/>
          <w:sz w:val="17"/>
          <w:szCs w:val="17"/>
        </w:rPr>
        <w:t xml:space="preserve">A soft flag using your own questions seems like the right place to start — it doesn't ask us to build a hard gate before there's real readiness data to gate on, and it can tighten up once the Readiness Table exists.</w:t>
      </w:r>
    </w:p>
    <w:p>
      <w:pPr>
        <w:spacing w:after="70" w:before="220"/>
      </w:pPr>
      <w:r>
        <w:rPr>
          <w:rFonts w:ascii="Segoe UI" w:cs="Segoe UI" w:eastAsia="Segoe UI" w:hAnsi="Segoe UI"/>
          <w:b/>
          <w:bCs/>
          <w:i w:val="false"/>
          <w:iCs w:val="false"/>
          <w:color w:val="1B4F8A"/>
          <w:sz w:val="20"/>
          <w:szCs w:val="20"/>
        </w:rPr>
        <w:t xml:space="preserve">9. "How do we prevent routine-work automation from hollowing out the development path for future experts?"</w:t>
      </w:r>
    </w:p>
    <w:p>
      <w:pPr>
        <w:spacing w:after="150" w:before="0"/>
      </w:pPr>
      <w:r>
        <w:rPr>
          <w:rFonts w:ascii="Segoe UI" w:cs="Segoe UI" w:eastAsia="Segoe UI" w:hAnsi="Segoe UI"/>
          <w:b w:val="false"/>
          <w:bCs w:val="false"/>
          <w:i w:val="false"/>
          <w:iCs w:val="false"/>
          <w:color w:val="444444"/>
          <w:sz w:val="19"/>
          <w:szCs w:val="19"/>
        </w:rPr>
        <w:t xml:space="preserve">This one's already on our radar as a named risk — the same McKinsey piece we've both been drawing from puts real numbers on it: entry-level Transaction-pattern work shrinking from roughly 60% to 12% across the maturity curve, which quietly removes the on-the-job route junior people use today to build the judgment that senior, Accountable roles eventually require. It's flagged. Nothing's been designed against it yet.</w:t>
      </w:r>
    </w:p>
    <w:p>
      <w:pPr>
        <w:spacing w:after="70" w:before="220"/>
      </w:pPr>
      <w:r>
        <w:rPr>
          <w:rFonts w:ascii="Segoe UI" w:cs="Segoe UI" w:eastAsia="Segoe UI" w:hAnsi="Segoe UI"/>
          <w:b/>
          <w:bCs/>
          <w:i w:val="false"/>
          <w:iCs w:val="false"/>
          <w:color w:val="1B4F8A"/>
          <w:sz w:val="20"/>
          <w:szCs w:val="20"/>
        </w:rPr>
        <w:t xml:space="preserve">A few directions worth discussing:</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Deliberately reserve some entry-level work</w:t>
      </w:r>
      <w:r>
        <w:rPr>
          <w:rFonts w:ascii="Segoe UI" w:cs="Segoe UI" w:eastAsia="Segoe UI" w:hAnsi="Segoe UI"/>
          <w:b w:val="false"/>
          <w:bCs w:val="false"/>
          <w:i w:val="false"/>
          <w:iCs w:val="false"/>
          <w:color w:val="444444"/>
          <w:sz w:val="19"/>
          <w:szCs w:val="19"/>
        </w:rPr>
        <w:t xml:space="preserve"> — below the "optimal" automation level, purely so people have something to learn on — direct, but it cuts against the framework's own efficiency case.</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Redesign the apprenticeship path itself</w:t>
      </w:r>
      <w:r>
        <w:rPr>
          <w:rFonts w:ascii="Segoe UI" w:cs="Segoe UI" w:eastAsia="Segoe UI" w:hAnsi="Segoe UI"/>
          <w:b w:val="false"/>
          <w:bCs w:val="false"/>
          <w:i w:val="false"/>
          <w:iCs w:val="false"/>
          <w:color w:val="444444"/>
          <w:sz w:val="19"/>
          <w:szCs w:val="19"/>
        </w:rPr>
        <w:t xml:space="preserve"> — structured exposure to Decision- and Exception-pattern work earlier (shadowing, reviewing AI output, escalation training) rather than trying to preserve the old transactional volume.</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Track it as a ninth Readiness dimension</w:t>
      </w:r>
      <w:r>
        <w:rPr>
          <w:rFonts w:ascii="Segoe UI" w:cs="Segoe UI" w:eastAsia="Segoe UI" w:hAnsi="Segoe UI"/>
          <w:b w:val="false"/>
          <w:bCs w:val="false"/>
          <w:i w:val="false"/>
          <w:iCs w:val="false"/>
          <w:color w:val="444444"/>
          <w:sz w:val="19"/>
          <w:szCs w:val="19"/>
        </w:rPr>
        <w:t xml:space="preserve"> — alongside your eight, watched but not yet actively engineered against.</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Set it aside for now</w:t>
      </w:r>
      <w:r>
        <w:rPr>
          <w:rFonts w:ascii="Segoe UI" w:cs="Segoe UI" w:eastAsia="Segoe UI" w:hAnsi="Segoe UI"/>
          <w:b w:val="false"/>
          <w:bCs w:val="false"/>
          <w:i w:val="false"/>
          <w:iCs w:val="false"/>
          <w:color w:val="444444"/>
          <w:sz w:val="19"/>
          <w:szCs w:val="19"/>
        </w:rPr>
        <w:t xml:space="preserve"> — on the record, until the Readiness work is further along — this genuinely sits downstream of the same accountability and trust layer.</w:t>
      </w:r>
    </w:p>
    <w:p>
      <w:pPr>
        <w:spacing w:after="150" w:before="0"/>
      </w:pPr>
      <w:r>
        <w:rPr>
          <w:rFonts w:ascii="Segoe UI" w:cs="Segoe UI" w:eastAsia="Segoe UI" w:hAnsi="Segoe UI"/>
          <w:b w:val="false"/>
          <w:bCs w:val="false"/>
          <w:i/>
          <w:iCs/>
          <w:color w:val="888888"/>
          <w:sz w:val="17"/>
          <w:szCs w:val="17"/>
        </w:rPr>
        <w:t xml:space="preserve">Tracking it now feels cheap and worth doing regardless of what else we decide; the apprenticeship redesign is the real fix, once there's room to build it.</w:t>
      </w:r>
    </w:p>
    <w:p>
      <w:pPr>
        <w:spacing w:after="70" w:before="220"/>
      </w:pPr>
      <w:r>
        <w:rPr>
          <w:rFonts w:ascii="Segoe UI" w:cs="Segoe UI" w:eastAsia="Segoe UI" w:hAnsi="Segoe UI"/>
          <w:b/>
          <w:bCs/>
          <w:i w:val="false"/>
          <w:iCs w:val="false"/>
          <w:color w:val="1B4F8A"/>
          <w:sz w:val="20"/>
          <w:szCs w:val="20"/>
        </w:rPr>
        <w:t xml:space="preserve">10. "How do we account for roles that merge, disappear, split or emerge rather than simply transition?"</w:t>
      </w:r>
    </w:p>
    <w:p>
      <w:pPr>
        <w:spacing w:after="150" w:before="0"/>
      </w:pPr>
      <w:r>
        <w:rPr>
          <w:rFonts w:ascii="Segoe UI" w:cs="Segoe UI" w:eastAsia="Segoe UI" w:hAnsi="Segoe UI"/>
          <w:b w:val="false"/>
          <w:bCs w:val="false"/>
          <w:i w:val="false"/>
          <w:iCs w:val="false"/>
          <w:color w:val="444444"/>
          <w:sz w:val="19"/>
          <w:szCs w:val="19"/>
        </w:rPr>
        <w:t xml:space="preserve">Genuinely new ground — everything built so far (the pattern-transition work, the role transition profiles) assumes one existing role shifting in place. None of it handles a role restructuring out of existence, splitting in two, or a new hybrid role forming that didn't exist before.</w:t>
      </w:r>
    </w:p>
    <w:p>
      <w:pPr>
        <w:spacing w:after="70" w:before="220"/>
      </w:pPr>
      <w:r>
        <w:rPr>
          <w:rFonts w:ascii="Segoe UI" w:cs="Segoe UI" w:eastAsia="Segoe UI" w:hAnsi="Segoe UI"/>
          <w:b/>
          <w:bCs/>
          <w:i w:val="false"/>
          <w:iCs w:val="false"/>
          <w:color w:val="1B4F8A"/>
          <w:sz w:val="20"/>
          <w:szCs w:val="20"/>
        </w:rPr>
        <w:t xml:space="preserve">A few ways we could start:</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Add a "Role Fate" field</w:t>
      </w:r>
      <w:r>
        <w:rPr>
          <w:rFonts w:ascii="Segoe UI" w:cs="Segoe UI" w:eastAsia="Segoe UI" w:hAnsi="Segoe UI"/>
          <w:b w:val="false"/>
          <w:bCs w:val="false"/>
          <w:i w:val="false"/>
          <w:iCs w:val="false"/>
          <w:color w:val="444444"/>
          <w:sz w:val="19"/>
          <w:szCs w:val="19"/>
        </w:rPr>
        <w:t xml:space="preserve"> — to the existing role-transition data — evolves, merges, splits, disappears, emerges — inferred by comparing a role's current and future activity footprints. Mostly computable from data we already have.</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Let a person call it, rather than the data</w:t>
      </w:r>
      <w:r>
        <w:rPr>
          <w:rFonts w:ascii="Segoe UI" w:cs="Segoe UI" w:eastAsia="Segoe UI" w:hAnsi="Segoe UI"/>
          <w:b w:val="false"/>
          <w:bCs w:val="false"/>
          <w:i w:val="false"/>
          <w:iCs w:val="false"/>
          <w:color w:val="444444"/>
          <w:sz w:val="19"/>
          <w:szCs w:val="19"/>
        </w:rPr>
        <w:t xml:space="preserve"> — you or another domain expert making the judgment directly, which is probably more defensible for a genuinely new role the data has no way to predict.</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Look for orphaned clusters</w:t>
      </w:r>
      <w:r>
        <w:rPr>
          <w:rFonts w:ascii="Segoe UI" w:cs="Segoe UI" w:eastAsia="Segoe UI" w:hAnsi="Segoe UI"/>
          <w:b w:val="false"/>
          <w:bCs w:val="false"/>
          <w:i w:val="false"/>
          <w:iCs w:val="false"/>
          <w:color w:val="444444"/>
          <w:sz w:val="19"/>
          <w:szCs w:val="19"/>
        </w:rPr>
        <w:t xml:space="preserve"> — activities left over across several roles' future footprints that don't map cleanly to anything current, as a signal a new role might be needed. Interesting, but speculative and a real build.</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Leave it out of scope for now</w:t>
      </w:r>
      <w:r>
        <w:rPr>
          <w:rFonts w:ascii="Segoe UI" w:cs="Segoe UI" w:eastAsia="Segoe UI" w:hAnsi="Segoe UI"/>
          <w:b w:val="false"/>
          <w:bCs w:val="false"/>
          <w:i w:val="false"/>
          <w:iCs w:val="false"/>
          <w:color w:val="444444"/>
          <w:sz w:val="19"/>
          <w:szCs w:val="19"/>
        </w:rPr>
        <w:t xml:space="preserve"> — and just say plainly that the model currently assumes roles stay intact.</w:t>
      </w:r>
    </w:p>
    <w:p>
      <w:pPr>
        <w:spacing w:after="150" w:before="0"/>
      </w:pPr>
      <w:r>
        <w:rPr>
          <w:rFonts w:ascii="Segoe UI" w:cs="Segoe UI" w:eastAsia="Segoe UI" w:hAnsi="Segoe UI"/>
          <w:b w:val="false"/>
          <w:bCs w:val="false"/>
          <w:i/>
          <w:iCs/>
          <w:color w:val="888888"/>
          <w:sz w:val="17"/>
          <w:szCs w:val="17"/>
        </w:rPr>
        <w:t xml:space="preserve">The Role Fate field feels like a light lift worth doing soon, with your judgment as the real backstop wherever the data can't decide on its own.</w:t>
      </w:r>
    </w:p>
    <w:p>
      <w:pPr>
        <w:spacing w:after="70" w:before="220"/>
      </w:pPr>
      <w:r>
        <w:rPr>
          <w:rFonts w:ascii="Segoe UI" w:cs="Segoe UI" w:eastAsia="Segoe UI" w:hAnsi="Segoe UI"/>
          <w:b/>
          <w:bCs/>
          <w:i w:val="false"/>
          <w:iCs w:val="false"/>
          <w:color w:val="1B4F8A"/>
          <w:sz w:val="20"/>
          <w:szCs w:val="20"/>
        </w:rPr>
        <w:t xml:space="preserve">11. "How should employee voice be used to validate the designed future state against the reality of work?"</w:t>
      </w:r>
    </w:p>
    <w:p>
      <w:pPr>
        <w:spacing w:after="150" w:before="0"/>
      </w:pPr>
      <w:r>
        <w:rPr>
          <w:rFonts w:ascii="Segoe UI" w:cs="Segoe UI" w:eastAsia="Segoe UI" w:hAnsi="Segoe UI"/>
          <w:b w:val="false"/>
          <w:bCs w:val="false"/>
          <w:i w:val="false"/>
          <w:iCs w:val="false"/>
          <w:color w:val="444444"/>
          <w:sz w:val="19"/>
          <w:szCs w:val="19"/>
        </w:rPr>
        <w:t xml:space="preserve">Nothing today closes the loop between what we've designed and what people actually experience doing the work. Your own seven validation questions (below) are already the best starting instrument that exists for this.</w:t>
      </w:r>
    </w:p>
    <w:p>
      <w:pPr>
        <w:spacing w:after="70" w:before="220"/>
      </w:pPr>
      <w:r>
        <w:rPr>
          <w:rFonts w:ascii="Segoe UI" w:cs="Segoe UI" w:eastAsia="Segoe UI" w:hAnsi="Segoe UI"/>
          <w:b/>
          <w:bCs/>
          <w:i w:val="false"/>
          <w:iCs w:val="false"/>
          <w:color w:val="1B4F8A"/>
          <w:sz w:val="20"/>
          <w:szCs w:val="20"/>
        </w:rPr>
        <w:t xml:space="preserve">A few shapes for how it could run:</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 periodic gate</w:t>
      </w:r>
      <w:r>
        <w:rPr>
          <w:rFonts w:ascii="Segoe UI" w:cs="Segoe UI" w:eastAsia="Segoe UI" w:hAnsi="Segoe UI"/>
          <w:b w:val="false"/>
          <w:bCs w:val="false"/>
          <w:i w:val="false"/>
          <w:iCs w:val="false"/>
          <w:color w:val="444444"/>
          <w:sz w:val="19"/>
          <w:szCs w:val="19"/>
        </w:rPr>
        <w:t xml:space="preserve"> — using your seven questions, run at each major maturity transition — the same mechanism as the readiness gate above.</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 lighter, always-on channel</w:t>
      </w:r>
      <w:r>
        <w:rPr>
          <w:rFonts w:ascii="Segoe UI" w:cs="Segoe UI" w:eastAsia="Segoe UI" w:hAnsi="Segoe UI"/>
          <w:b w:val="false"/>
          <w:bCs w:val="false"/>
          <w:i w:val="false"/>
          <w:iCs w:val="false"/>
          <w:color w:val="444444"/>
          <w:sz w:val="19"/>
          <w:szCs w:val="19"/>
        </w:rPr>
        <w:t xml:space="preserve"> — something like a short pulse check rather than a point-in-time event, catching drift sooner.</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Manager attestation</w:t>
      </w:r>
      <w:r>
        <w:rPr>
          <w:rFonts w:ascii="Segoe UI" w:cs="Segoe UI" w:eastAsia="Segoe UI" w:hAnsi="Segoe UI"/>
          <w:b w:val="false"/>
          <w:bCs w:val="false"/>
          <w:i w:val="false"/>
          <w:iCs w:val="false"/>
          <w:color w:val="444444"/>
          <w:sz w:val="19"/>
          <w:szCs w:val="19"/>
        </w:rPr>
        <w:t xml:space="preserve"> — lower overhead than surveying everyone, but weaker specifically on "are people quietly working around the process," since a manager may not see that happening.</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 layered approach</w:t>
      </w:r>
      <w:r>
        <w:rPr>
          <w:rFonts w:ascii="Segoe UI" w:cs="Segoe UI" w:eastAsia="Segoe UI" w:hAnsi="Segoe UI"/>
          <w:b w:val="false"/>
          <w:bCs w:val="false"/>
          <w:i w:val="false"/>
          <w:iCs w:val="false"/>
          <w:color w:val="444444"/>
          <w:sz w:val="19"/>
          <w:szCs w:val="19"/>
        </w:rPr>
        <w:t xml:space="preserve"> — attestation running continuously as the cheap default, escalating to real employee input at major transitions or whenever attestation itself raises a flag.</w:t>
      </w:r>
    </w:p>
    <w:p>
      <w:pPr>
        <w:spacing w:after="150" w:before="0"/>
      </w:pPr>
      <w:r>
        <w:rPr>
          <w:rFonts w:ascii="Segoe UI" w:cs="Segoe UI" w:eastAsia="Segoe UI" w:hAnsi="Segoe UI"/>
          <w:b w:val="false"/>
          <w:bCs w:val="false"/>
          <w:i/>
          <w:iCs/>
          <w:color w:val="888888"/>
          <w:sz w:val="17"/>
          <w:szCs w:val="17"/>
        </w:rPr>
        <w:t xml:space="preserve">The layered version feels like the natural fit — it's the same shape the framework already leans on elsewhere: a cheap default that escalates only when something needs a closer look.</w:t>
      </w:r>
    </w:p>
    <w:p>
      <w:pPr>
        <w:spacing w:after="70" w:before="220"/>
      </w:pPr>
      <w:r>
        <w:rPr>
          <w:rFonts w:ascii="Segoe UI" w:cs="Segoe UI" w:eastAsia="Segoe UI" w:hAnsi="Segoe UI"/>
          <w:b/>
          <w:bCs/>
          <w:i w:val="false"/>
          <w:iCs w:val="false"/>
          <w:color w:val="1B4F8A"/>
          <w:sz w:val="20"/>
          <w:szCs w:val="20"/>
        </w:rPr>
        <w:t xml:space="preserve">12. "How can the site make the most important conclusions easier for an executive to see without weakening the methodological rigor?"</w:t>
      </w:r>
    </w:p>
    <w:p>
      <w:pPr>
        <w:spacing w:after="150" w:before="0"/>
      </w:pPr>
      <w:r>
        <w:rPr>
          <w:rFonts w:ascii="Segoe UI" w:cs="Segoe UI" w:eastAsia="Segoe UI" w:hAnsi="Segoe UI"/>
          <w:b w:val="false"/>
          <w:bCs w:val="false"/>
          <w:i w:val="false"/>
          <w:iCs w:val="false"/>
          <w:color w:val="444444"/>
          <w:sz w:val="19"/>
          <w:szCs w:val="19"/>
        </w:rPr>
        <w:t xml:space="preserve">This one we actually have a working answer for already — we just haven't shown it to you yet. It's close to what your own site recommendations above are already asking for: pull statements, "what this means" callouts, stronger visual hierarchy. There's a real, built precedent in the CHRO-facing briefing series (short pieces like "Judgment, Mapped" and "Accountable, By Design") that sit alongside the full technical site rather than replacing it — rigor stays intact underneath, and an easier-to-scan layer sits on top. Feels like a good thing to actually walk through together rather than just describe.</w:t>
      </w:r>
    </w:p>
    <w:p>
      <w:pPr>
        <w:spacing w:after="70" w:before="220"/>
      </w:pPr>
      <w:r>
        <w:rPr>
          <w:rFonts w:ascii="Segoe UI" w:cs="Segoe UI" w:eastAsia="Segoe UI" w:hAnsi="Segoe UI"/>
          <w:b/>
          <w:bCs/>
          <w:i w:val="false"/>
          <w:iCs w:val="false"/>
          <w:color w:val="1B4F8A"/>
          <w:sz w:val="20"/>
          <w:szCs w:val="20"/>
        </w:rPr>
        <w:t xml:space="preserve">Your seven validation questions</w:t>
      </w:r>
    </w:p>
    <w:p>
      <w:pPr>
        <w:spacing w:after="150" w:before="0"/>
      </w:pPr>
      <w:r>
        <w:rPr>
          <w:rFonts w:ascii="Segoe UI" w:cs="Segoe UI" w:eastAsia="Segoe UI" w:hAnsi="Segoe UI"/>
          <w:b w:val="false"/>
          <w:bCs w:val="false"/>
          <w:i/>
          <w:iCs/>
          <w:color w:val="444444"/>
          <w:sz w:val="19"/>
          <w:szCs w:val="19"/>
        </w:rPr>
        <w:t xml:space="preserve">Where does the proposed design underestimate human judgment? Where is AI creating rework or duplicate checking? Which responsibilities have become unclear? Where are exceptions happening that the model did not anticipate? What knowledge is at risk of being lost? Where are employees bypassing the designed process? What work has become more difficult even though less work remains?</w:t>
      </w:r>
    </w:p>
    <w:p>
      <w:pPr>
        <w:spacing w:after="150" w:before="0"/>
      </w:pPr>
      <w:r>
        <w:rPr>
          <w:rFonts w:ascii="Segoe UI" w:cs="Segoe UI" w:eastAsia="Segoe UI" w:hAnsi="Segoe UI"/>
          <w:b w:val="false"/>
          <w:bCs w:val="false"/>
          <w:i w:val="false"/>
          <w:iCs w:val="false"/>
          <w:color w:val="444444"/>
          <w:sz w:val="19"/>
          <w:szCs w:val="19"/>
        </w:rPr>
        <w:t xml:space="preserve">These read less like questions for us to answer right now and more like the actual seed of a real instrument — the one we keep pointing back to above, for both the readiness-gate question and the employee-voice question. Worth keeping them exactly as you wrote them rather than reworking them in the abstract, and building the real gate around them when the time comes.</w:t>
      </w:r>
    </w:p>
    <w:p>
      <w:pPr>
        <w:spacing w:after="150" w:before="0"/>
      </w:pPr>
      <w:r>
        <w:rPr>
          <w:rFonts w:ascii="Segoe UI" w:cs="Segoe UI" w:eastAsia="Segoe UI" w:hAnsi="Segoe UI"/>
          <w:b w:val="false"/>
          <w:bCs w:val="false"/>
          <w:i w:val="false"/>
          <w:iCs w:val="false"/>
          <w:color w:val="444444"/>
          <w:sz w:val="19"/>
          <w:szCs w:val="19"/>
        </w:rPr>
        <w:t xml:space="preserve">Two things are already settled and mostly just need a quick fix on the site (the convergence-gap figure, and naming the L3→L4 override pattern we're already using). One thing is a working answer we just haven't shown you yet (the executive-legibility question — happy to walk through the briefing series together). Everything else is genuinely open, and worth saying plainly: the H% definition, whether M3 should flex by context, human criticality, consequence of error, presence versus real control, readiness gates, role restructuring, and employee-voice validation.</w:t>
      </w:r>
    </w:p>
    <w:p>
      <w:pPr>
        <w:spacing w:after="220" w:before="0"/>
      </w:pPr>
      <w:r>
        <w:rPr>
          <w:rFonts w:ascii="Segoe UI" w:cs="Segoe UI" w:eastAsia="Segoe UI" w:hAnsi="Segoe UI"/>
          <w:b w:val="false"/>
          <w:bCs w:val="false"/>
          <w:i w:val="false"/>
          <w:iCs w:val="false"/>
          <w:color w:val="444444"/>
          <w:sz w:val="19"/>
          <w:szCs w:val="19"/>
        </w:rPr>
        <w:t xml:space="preserve">One pattern worth naming out loud rather than treating as eight separate to-dos: several of these — trust, workload sustainability, human criticality, consequence of error — keep circling the same undesigned territory. It might be worth treating that as one connected piece of work we take on together, rather than four or five separate asks competing for attention.</w:t>
      </w:r>
    </w:p>
    <w:p>
      <w:pPr>
        <w:pBdr>
          <w:bottom w:val="single" w:color="DDE3EE" w:sz="4" w:space="6"/>
        </w:pBdr>
        <w:spacing w:after="140" w:before="340"/>
      </w:pPr>
      <w:r>
        <w:rPr>
          <w:rFonts w:ascii="Consolas" w:cs="Consolas" w:eastAsia="Consolas" w:hAnsi="Consolas"/>
          <w:b/>
          <w:bCs/>
          <w:color w:val="1B4F8A"/>
          <w:sz w:val="16"/>
          <w:szCs w:val="16"/>
          <w:shd w:fill="EEF3FA" w:val="clear"/>
        </w:rPr>
        <w:t xml:space="preserve"> 2 </w:t>
      </w:r>
      <w:r>
        <w:rPr>
          <w:sz w:val="16"/>
          <w:szCs w:val="16"/>
        </w:rPr>
        <w:t xml:space="preserve">   </w:t>
      </w:r>
      <w:r>
        <w:rPr>
          <w:rFonts w:ascii="Georgia" w:cs="Georgia" w:eastAsia="Georgia" w:hAnsi="Georgia"/>
          <w:b/>
          <w:bCs/>
          <w:color w:val="0D2D4F"/>
          <w:sz w:val="26"/>
          <w:szCs w:val="26"/>
        </w:rPr>
        <w:t xml:space="preserve">Three More Questions — From the LifeLabs Report</w:t>
      </w:r>
    </w:p>
    <w:p>
      <w:pPr>
        <w:spacing w:after="150" w:before="0"/>
      </w:pPr>
      <w:r>
        <w:rPr>
          <w:rFonts w:ascii="Segoe UI" w:cs="Segoe UI" w:eastAsia="Segoe UI" w:hAnsi="Segoe UI"/>
          <w:b w:val="false"/>
          <w:bCs w:val="false"/>
          <w:i w:val="false"/>
          <w:iCs w:val="false"/>
          <w:color w:val="444444"/>
          <w:sz w:val="19"/>
          <w:szCs w:val="19"/>
        </w:rPr>
        <w:t xml:space="preserve">Six days after the review notes above, GiGi sent something else: the LifeLabs Learning 2026 Mid-Year Workplace Trends Report, with her own strategic note attached, posing three more questions. They’re really asking the same thing the twelve above ask, from outside evidence rather than from the site itself — whether the model is built to see the whole system of work, and whether it knows when to say no.</w:t>
      </w:r>
    </w:p>
    <w:p>
      <w:pPr>
        <w:spacing w:after="70" w:before="220"/>
      </w:pPr>
      <w:r>
        <w:rPr>
          <w:rFonts w:ascii="Segoe UI" w:cs="Segoe UI" w:eastAsia="Segoe UI" w:hAnsi="Segoe UI"/>
          <w:b/>
          <w:bCs/>
          <w:i w:val="false"/>
          <w:iCs w:val="false"/>
          <w:color w:val="1B4F8A"/>
          <w:sz w:val="20"/>
          <w:szCs w:val="20"/>
        </w:rPr>
        <w:t xml:space="preserve">13. "Are we mapping jobs, or the full system of work — tasks, handoffs, decisions, dependencies, exceptions, and accountability?"</w:t>
      </w:r>
    </w:p>
    <w:p>
      <w:pPr>
        <w:spacing w:after="150" w:before="0"/>
      </w:pPr>
      <w:r>
        <w:rPr>
          <w:rFonts w:ascii="Segoe UI" w:cs="Segoe UI" w:eastAsia="Segoe UI" w:hAnsi="Segoe UI"/>
          <w:b w:val="false"/>
          <w:bCs w:val="false"/>
          <w:i w:val="false"/>
          <w:iCs w:val="false"/>
          <w:color w:val="444444"/>
          <w:sz w:val="19"/>
          <w:szCs w:val="19"/>
        </w:rPr>
        <w:t xml:space="preserve">Four of the six things you named are already real, structured layers: tasks (the L1–L4 process taxonomy), decisions (the Decision pattern plus RACI’s Accountable field), exceptions (its own HITL pattern, not folded into anything else), and accountability (RACI end to end). Two are not: handoffs and dependencies between activities and roles exist implicitly in how the process taxonomy sequences work, but neither is tracked as its own explicit field today. So the honest answer is that we’re mapping most of the system, not just job titles — but handoffs and dependencies are the real gap, not a rounding error.</w:t>
      </w:r>
    </w:p>
    <w:p>
      <w:pPr>
        <w:spacing w:after="90" w:before="0"/>
      </w:pPr>
      <w:r>
        <w:rPr>
          <w:rFonts w:ascii="Segoe UI" w:cs="Segoe UI" w:eastAsia="Segoe UI" w:hAnsi="Segoe UI"/>
          <w:b/>
          <w:bCs/>
          <w:i w:val="false"/>
          <w:iCs w:val="false"/>
          <w:color w:val="1B4F8A"/>
          <w:sz w:val="20"/>
          <w:szCs w:val="20"/>
        </w:rPr>
        <w:t xml:space="preserve">A few ways we could close that gap:</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Formalize handoffs where they already coincide with a Governed Decision Point</w:t>
      </w:r>
      <w:r>
        <w:rPr>
          <w:rFonts w:ascii="Segoe UI" w:cs="Segoe UI" w:eastAsia="Segoe UI" w:hAnsi="Segoe UI"/>
          <w:b w:val="false"/>
          <w:bCs w:val="false"/>
          <w:i w:val="false"/>
          <w:iCs w:val="false"/>
          <w:color w:val="444444"/>
          <w:sz w:val="19"/>
          <w:szCs w:val="19"/>
        </w:rPr>
        <w:t xml:space="preserve"> — tie each governed handoff to its sending and receiving role. Cheap, since the underlying data already exists.</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Model dependencies as edges between L4 activities</w:t>
      </w:r>
      <w:r>
        <w:rPr>
          <w:rFonts w:ascii="Segoe UI" w:cs="Segoe UI" w:eastAsia="Segoe UI" w:hAnsi="Segoe UI"/>
          <w:b w:val="false"/>
          <w:bCs w:val="false"/>
          <w:i w:val="false"/>
          <w:iCs w:val="false"/>
          <w:color w:val="444444"/>
          <w:sz w:val="19"/>
          <w:szCs w:val="19"/>
        </w:rPr>
        <w:t xml:space="preserve"> — a real extension to the process taxonomy, not a small one.</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Leave both as narrative rather than structured data for now</w:t>
      </w:r>
      <w:r>
        <w:rPr>
          <w:rFonts w:ascii="Segoe UI" w:cs="Segoe UI" w:eastAsia="Segoe UI" w:hAnsi="Segoe UI"/>
          <w:b w:val="false"/>
          <w:bCs w:val="false"/>
          <w:i w:val="false"/>
          <w:iCs w:val="false"/>
          <w:color w:val="444444"/>
          <w:sz w:val="19"/>
          <w:szCs w:val="19"/>
        </w:rPr>
        <w:t xml:space="preserve"> — this may be exactly the connective tissue your Readiness and transition work already needs to cover from the people side, rather than something the process side should own.</w:t>
      </w:r>
    </w:p>
    <w:p>
      <w:pPr>
        <w:spacing w:after="150" w:before="0"/>
      </w:pPr>
      <w:r>
        <w:rPr>
          <w:rFonts w:ascii="Segoe UI" w:cs="Segoe UI" w:eastAsia="Segoe UI" w:hAnsi="Segoe UI"/>
          <w:b w:val="false"/>
          <w:bCs w:val="false"/>
          <w:i/>
          <w:iCs/>
          <w:color w:val="888888"/>
          <w:sz w:val="17"/>
          <w:szCs w:val="17"/>
        </w:rPr>
        <w:t xml:space="preserve">Probably a hybrid: handoffs formalized where a Governed Decision Point already exists, dependencies left as real future work rather than guessed at.</w:t>
      </w:r>
    </w:p>
    <w:p>
      <w:pPr>
        <w:spacing w:after="70" w:before="220"/>
      </w:pPr>
      <w:r>
        <w:rPr>
          <w:rFonts w:ascii="Segoe UI" w:cs="Segoe UI" w:eastAsia="Segoe UI" w:hAnsi="Segoe UI"/>
          <w:b/>
          <w:bCs/>
          <w:i w:val="false"/>
          <w:iCs w:val="false"/>
          <w:color w:val="1B4F8A"/>
          <w:sz w:val="20"/>
          <w:szCs w:val="20"/>
        </w:rPr>
        <w:t xml:space="preserve">14. "Can the model identify where not to deploy AI yet because role clarity, manager capacity, trust, workflow maturity, or change capacity is too weak?"</w:t>
      </w:r>
    </w:p>
    <w:p>
      <w:pPr>
        <w:spacing w:after="150" w:before="0"/>
      </w:pPr>
      <w:r>
        <w:rPr>
          <w:rFonts w:ascii="Segoe UI" w:cs="Segoe UI" w:eastAsia="Segoe UI" w:hAnsi="Segoe UI"/>
          <w:b w:val="false"/>
          <w:bCs w:val="false"/>
          <w:i w:val="false"/>
          <w:iCs w:val="false"/>
          <w:color w:val="444444"/>
          <w:sz w:val="19"/>
          <w:szCs w:val="19"/>
        </w:rPr>
        <w:t xml:space="preserve">Not yet — and this is the same gap Q7 and Q8 above are already circling: human presence versus real control, and what conditions must be true before an organization moves to the next maturity level. Today the framework can show you where the human-involvement gap is largest (Δ M1→M3, by pattern, by role), which is useful for spotting where deployment would touch the most human judgment. It cannot yet tell you role clarity, manager capacity, trust, or change capacity are too weak to deploy safely there, because none of those are measured today. That’s your eight Readiness dimensions again, doing the same job a third time from a third angle.</w:t>
      </w:r>
    </w:p>
    <w:p>
      <w:pPr>
        <w:spacing w:after="90" w:before="0"/>
      </w:pPr>
      <w:r>
        <w:rPr>
          <w:rFonts w:ascii="Segoe UI" w:cs="Segoe UI" w:eastAsia="Segoe UI" w:hAnsi="Segoe UI"/>
          <w:b/>
          <w:bCs/>
          <w:i w:val="false"/>
          <w:iCs w:val="false"/>
          <w:color w:val="1B4F8A"/>
          <w:sz w:val="20"/>
          <w:szCs w:val="20"/>
        </w:rPr>
        <w:t xml:space="preserve">This one probably doesn’t need new options so much as recognition:</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Same shape as Q8’s readiness gate</w:t>
      </w:r>
      <w:r>
        <w:rPr>
          <w:rFonts w:ascii="Segoe UI" w:cs="Segoe UI" w:eastAsia="Segoe UI" w:hAnsi="Segoe UI"/>
          <w:b w:val="false"/>
          <w:bCs w:val="false"/>
          <w:i w:val="false"/>
          <w:iCs w:val="false"/>
          <w:color w:val="444444"/>
          <w:sz w:val="19"/>
          <w:szCs w:val="19"/>
        </w:rPr>
        <w:t xml:space="preserve"> — a soft flag distinguishing “claimed” maturity from “readiness-confirmed” maturity, using your eight dimensions as the check.</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 dedicated “not ready” flag per role or value stream</w:t>
      </w:r>
      <w:r>
        <w:rPr>
          <w:rFonts w:ascii="Segoe UI" w:cs="Segoe UI" w:eastAsia="Segoe UI" w:hAnsi="Segoe UI"/>
          <w:b w:val="false"/>
          <w:bCs w:val="false"/>
          <w:i w:val="false"/>
          <w:iCs w:val="false"/>
          <w:color w:val="444444"/>
          <w:sz w:val="19"/>
          <w:szCs w:val="19"/>
        </w:rPr>
        <w:t xml:space="preserve"> — computed once the Readiness Table exists, sitting alongside the existing Δ M1→M3 figures as a second axis rather than replacing them.</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Treat the repetition itself as the finding</w:t>
      </w:r>
      <w:r>
        <w:rPr>
          <w:rFonts w:ascii="Segoe UI" w:cs="Segoe UI" w:eastAsia="Segoe UI" w:hAnsi="Segoe UI"/>
          <w:b w:val="false"/>
          <w:bCs w:val="false"/>
          <w:i w:val="false"/>
          <w:iCs w:val="false"/>
          <w:color w:val="444444"/>
          <w:sz w:val="19"/>
          <w:szCs w:val="19"/>
        </w:rPr>
        <w:t xml:space="preserve"> — three separate questions (yours here, Q7, Q8) converging on the same missing layer from three different doors is a strong signal about what to build next, more than it’s three separate asks.</w:t>
      </w:r>
    </w:p>
    <w:p>
      <w:pPr>
        <w:spacing w:after="150" w:before="0"/>
      </w:pPr>
      <w:r>
        <w:rPr>
          <w:rFonts w:ascii="Segoe UI" w:cs="Segoe UI" w:eastAsia="Segoe UI" w:hAnsi="Segoe UI"/>
          <w:b w:val="false"/>
          <w:bCs w:val="false"/>
          <w:i/>
          <w:iCs/>
          <w:color w:val="888888"/>
          <w:sz w:val="17"/>
          <w:szCs w:val="17"/>
        </w:rPr>
        <w:t xml:space="preserve">Third time the same gap has come up from a different door. Worth treating as one piece of work, not three.</w:t>
      </w:r>
    </w:p>
    <w:p>
      <w:pPr>
        <w:spacing w:after="70" w:before="220"/>
      </w:pPr>
      <w:r>
        <w:rPr>
          <w:rFonts w:ascii="Segoe UI" w:cs="Segoe UI" w:eastAsia="Segoe UI" w:hAnsi="Segoe UI"/>
          <w:b/>
          <w:bCs/>
          <w:i w:val="false"/>
          <w:iCs w:val="false"/>
          <w:color w:val="1B4F8A"/>
          <w:sz w:val="20"/>
          <w:szCs w:val="20"/>
        </w:rPr>
        <w:t xml:space="preserve">15. "Can we measure readiness debt and manager complexity load, then prescribe the intervention — not merely display the risk?"</w:t>
      </w:r>
    </w:p>
    <w:p>
      <w:pPr>
        <w:spacing w:after="150" w:before="0"/>
      </w:pPr>
      <w:r>
        <w:rPr>
          <w:rFonts w:ascii="Segoe UI" w:cs="Segoe UI" w:eastAsia="Segoe UI" w:hAnsi="Segoe UI"/>
          <w:b w:val="false"/>
          <w:bCs w:val="false"/>
          <w:i w:val="false"/>
          <w:iCs w:val="false"/>
          <w:color w:val="444444"/>
          <w:sz w:val="19"/>
          <w:szCs w:val="19"/>
        </w:rPr>
        <w:t xml:space="preserve">Same territory as Q8’s hard-gate-versus-soft-flag discussion, one step further downstream. Today, wherever the framework shows a gap — the Δ M1→M3 figures, an under-resourced value stream, a role carrying disproportionate Decision/Exception load — it’s descriptive: it shows you where the strain is. Nothing today computes a debt figure, and nothing recommends what to do about it. Prescriptive recommendation is a different kind of feature than anything built so far — closer to expert-system logic than a maturity curve.</w:t>
      </w:r>
    </w:p>
    <w:p>
      <w:pPr>
        <w:spacing w:after="90" w:before="0"/>
      </w:pPr>
      <w:r>
        <w:rPr>
          <w:rFonts w:ascii="Segoe UI" w:cs="Segoe UI" w:eastAsia="Segoe UI" w:hAnsi="Segoe UI"/>
          <w:b/>
          <w:bCs/>
          <w:i w:val="false"/>
          <w:iCs w:val="false"/>
          <w:color w:val="1B4F8A"/>
          <w:sz w:val="20"/>
          <w:szCs w:val="20"/>
        </w:rPr>
        <w:t xml:space="preserve">A few ways we could build toward prescription:</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Rule-based recommendations tied to readiness thresholds</w:t>
      </w:r>
      <w:r>
        <w:rPr>
          <w:rFonts w:ascii="Segoe UI" w:cs="Segoe UI" w:eastAsia="Segoe UI" w:hAnsi="Segoe UI"/>
          <w:b w:val="false"/>
          <w:bCs w:val="false"/>
          <w:i w:val="false"/>
          <w:iCs w:val="false"/>
          <w:color w:val="444444"/>
          <w:sz w:val="19"/>
          <w:szCs w:val="19"/>
        </w:rPr>
        <w:t xml:space="preserve"> — once your dimensions are scored (e.g., low manager capacity plus high Decision/Exception load → recommend delaying, not blocking, deployment).</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Keep the actual intervention as narrative guidance from you</w:t>
      </w:r>
      <w:r>
        <w:rPr>
          <w:rFonts w:ascii="Segoe UI" w:cs="Segoe UI" w:eastAsia="Segoe UI" w:hAnsi="Segoe UI"/>
          <w:b w:val="false"/>
          <w:bCs w:val="false"/>
          <w:i w:val="false"/>
          <w:iCs w:val="false"/>
          <w:color w:val="444444"/>
          <w:sz w:val="19"/>
          <w:szCs w:val="19"/>
        </w:rPr>
        <w:t xml:space="preserve"> — at least until there’s real data to validate any rule against, rather than shipping an untested automated recommendation.</w:t>
      </w:r>
    </w:p>
    <w:p>
      <w:pPr>
        <w:spacing w:after="90"/>
        <w:ind w:left="260" w:hanging="200"/>
      </w:pPr>
      <w:r>
        <w:rPr>
          <w:rFonts w:ascii="Segoe UI" w:cs="Segoe UI" w:eastAsia="Segoe UI" w:hAnsi="Segoe UI"/>
          <w:b w:val="false"/>
          <w:bCs w:val="false"/>
          <w:i w:val="false"/>
          <w:iCs w:val="false"/>
          <w:color w:val="1B4F8A"/>
          <w:sz w:val="19"/>
          <w:szCs w:val="19"/>
        </w:rPr>
        <w:t xml:space="preserve">–  </w:t>
      </w:r>
      <w:r>
        <w:rPr>
          <w:rFonts w:ascii="Segoe UI" w:cs="Segoe UI" w:eastAsia="Segoe UI" w:hAnsi="Segoe UI"/>
          <w:b/>
          <w:bCs/>
          <w:i w:val="false"/>
          <w:iCs w:val="false"/>
          <w:color w:val="1B4F8A"/>
          <w:sz w:val="19"/>
          <w:szCs w:val="19"/>
        </w:rPr>
        <w:t xml:space="preserve">A hybrid</w:t>
      </w:r>
      <w:r>
        <w:rPr>
          <w:rFonts w:ascii="Segoe UI" w:cs="Segoe UI" w:eastAsia="Segoe UI" w:hAnsi="Segoe UI"/>
          <w:b w:val="false"/>
          <w:bCs w:val="false"/>
          <w:i w:val="false"/>
          <w:iCs w:val="false"/>
          <w:color w:val="444444"/>
          <w:sz w:val="19"/>
          <w:szCs w:val="19"/>
        </w:rPr>
        <w:t xml:space="preserve"> — the model flags where debt is highest (computable from existing data), a person supplies the actual intervention. Same computed-default-with-manual-override shape already proposed for the consequence-of-error question above.</w:t>
      </w:r>
    </w:p>
    <w:p>
      <w:pPr>
        <w:spacing w:after="150" w:before="0"/>
      </w:pPr>
      <w:r>
        <w:rPr>
          <w:rFonts w:ascii="Segoe UI" w:cs="Segoe UI" w:eastAsia="Segoe UI" w:hAnsi="Segoe UI"/>
          <w:b w:val="false"/>
          <w:bCs w:val="false"/>
          <w:i/>
          <w:iCs/>
          <w:color w:val="888888"/>
          <w:sz w:val="17"/>
          <w:szCs w:val="17"/>
        </w:rPr>
        <w:t xml:space="preserve">Consistent with everything else here: descriptive is buildable now, prescriptive needs your instrument first. Worth sequencing honestly rather than promising both at once.</w:t>
      </w:r>
    </w:p>
    <w:p>
      <w:pPr>
        <w:spacing w:after="150" w:before="0"/>
      </w:pPr>
      <w:r>
        <w:rPr>
          <w:rFonts w:ascii="Segoe UI" w:cs="Segoe UI" w:eastAsia="Segoe UI" w:hAnsi="Segoe UI"/>
          <w:b w:val="false"/>
          <w:bCs w:val="false"/>
          <w:i w:val="false"/>
          <w:iCs w:val="false"/>
          <w:color w:val="444444"/>
          <w:sz w:val="19"/>
          <w:szCs w:val="19"/>
        </w:rPr>
        <w:t xml:space="preserve">All three of these land on ground her own review already opened. That’s worth saying plainly rather than treating as a coincidence: the same three or four gaps — trust, workload, role clarity, prescriptive readiness — keep resurfacing no matter which direction we come at this from.</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none" w:color="FFFFFF" w:sz="0"/>
              <w:bottom w:val="none" w:color="FFFFFF" w:sz="0"/>
              <w:right w:val="none" w:color="FFFFFF" w:sz="0"/>
            </w:tcBorders>
            <w:shd w:fill="0D2D4F" w:val="clear"/>
            <w:tcMar>
              <w:top w:type="dxa" w:w="160"/>
              <w:left w:type="dxa" w:w="220"/>
              <w:bottom w:type="dxa" w:w="160"/>
              <w:right w:type="dxa" w:w="220"/>
            </w:tcMar>
          </w:tcPr>
          <w:p>
            <w:pPr>
              <w:spacing w:after="0" w:before="0"/>
              <w:jc w:val="center"/>
            </w:pPr>
            <w:r>
              <w:rPr>
                <w:rFonts w:ascii="Georgia" w:cs="Georgia" w:eastAsia="Georgia" w:hAnsi="Georgia"/>
                <w:b w:val="false"/>
                <w:bCs w:val="false"/>
                <w:i/>
                <w:iCs/>
                <w:color w:val="FFFFFF"/>
                <w:sz w:val="23"/>
                <w:szCs w:val="23"/>
              </w:rPr>
              <w:t xml:space="preserve">Looking forward to going through this with you.</w:t>
            </w:r>
          </w:p>
        </w:tc>
      </w:tr>
    </w:tbl>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E" w:sz="4" w:space="6"/>
      </w:pBdr>
      <w:jc w:val="center"/>
    </w:pPr>
    <w:r>
      <w:rPr>
        <w:rFonts w:ascii="Segoe UI" w:cs="Segoe UI" w:eastAsia="Segoe UI" w:hAnsi="Segoe UI"/>
        <w:b w:val="false"/>
        <w:bCs w:val="false"/>
        <w:i w:val="false"/>
        <w:iCs w:val="false"/>
        <w:color w:val="888888"/>
        <w:sz w:val="16"/>
        <w:szCs w:val="16"/>
      </w:rPr>
      <w:t xml:space="preserve">Tim King &amp; GiGi Garcia · Working Discussion Draft ·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44444"/>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2026-09-05T19:49:10.581Z</dcterms:created>
  <dcterms:modified xsi:type="dcterms:W3CDTF">2026-09-05T19:49:10.581Z</dcterms:modified>
</cp:coreProperties>
</file>

<file path=docProps/custom.xml><?xml version="1.0" encoding="utf-8"?>
<Properties xmlns="http://schemas.openxmlformats.org/officeDocument/2006/custom-properties" xmlns:vt="http://schemas.openxmlformats.org/officeDocument/2006/docPropsVTypes"/>
</file>