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D4F" w:sz="2"/>
              <w:left w:val="single" w:color="0D2D4F" w:sz="2"/>
              <w:bottom w:val="single" w:color="0D2D4F" w:sz="2"/>
              <w:right w:val="single" w:color="0D2D4F" w:sz="2"/>
            </w:tcBorders>
            <w:shd w:fill="0D2D4F" w:val="clear"/>
            <w:tcMar>
              <w:top w:type="dxa" w:w="220"/>
              <w:left w:type="dxa" w:w="260"/>
              <w:bottom w:type="dxa" w:w="220"/>
              <w:right w:type="dxa" w:w="260"/>
            </w:tcMar>
          </w:tcPr>
          <w:p>
            <w:pPr>
              <w:jc w:val="center"/>
            </w:pPr>
            <w:r>
              <w:rPr>
                <w:rFonts w:ascii="Consolas" w:cs="Consolas" w:eastAsia="Consolas" w:hAnsi="Consolas"/>
                <w:color w:val="9FC2EE"/>
                <w:spacing w:val="20"/>
                <w:sz w:val="16"/>
                <w:szCs w:val="16"/>
              </w:rPr>
              <w:t xml:space="preserve">HITL-DRIVEN ARCHITECTURE</w:t>
            </w:r>
          </w:p>
          <w:p>
            <w:pPr>
              <w:spacing w:before="100"/>
              <w:jc w:val="center"/>
            </w:pPr>
            <w:r>
              <w:rPr>
                <w:rFonts w:ascii="Georgia" w:cs="Georgia" w:eastAsia="Georgia" w:hAnsi="Georgia"/>
                <w:b/>
                <w:bCs/>
                <w:color w:val="FFFFFF"/>
                <w:sz w:val="32"/>
                <w:szCs w:val="32"/>
              </w:rPr>
              <w:t xml:space="preserve">Work Pattern Color Standard</w:t>
            </w:r>
          </w:p>
          <w:p>
            <w:pPr>
              <w:spacing w:before="60"/>
              <w:jc w:val="center"/>
            </w:pPr>
            <w:r>
              <w:rPr>
                <w:rFonts w:ascii="Georgia" w:cs="Georgia" w:eastAsia="Georgia" w:hAnsi="Georgia"/>
                <w:i/>
                <w:iCs/>
                <w:color w:val="9FC2EE"/>
                <w:sz w:val="20"/>
                <w:szCs w:val="20"/>
              </w:rPr>
              <w:t xml:space="preserve">A Validated, Colorblind-Safe Mapping for the Five HITL Work Patterns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2"/>
              <w:left w:val="single" w:color="B8873F" w:sz="24"/>
              <w:bottom w:val="single" w:color="FEF3C7" w:sz="2"/>
              <w:right w:val="single" w:color="FEF3C7" w:sz="2"/>
            </w:tcBorders>
            <w:shd w:fill="FEF3C7" w:val="clear"/>
            <w:tcMar>
              <w:top w:type="dxa" w:w="180"/>
              <w:left w:type="dxa" w:w="260"/>
              <w:bottom w:type="dxa" w:w="180"/>
              <w:right w:type="dxa" w:w="260"/>
            </w:tcMar>
          </w:tcPr>
          <w:p>
            <w:r>
              <w:rPr>
                <w:rFonts w:ascii="Segoe UI" w:cs="Segoe UI" w:eastAsia="Segoe UI" w:hAnsi="Segoe UI"/>
                <w:i/>
                <w:iCs/>
                <w:color w:val="7A5A1E"/>
                <w:sz w:val="19"/>
                <w:szCs w:val="19"/>
              </w:rPr>
              <w:t xml:space="preserve">Concept stage — not yet part of the framework. Directly operationalizes Rule 2 (One Pattern Legend) of the unified Framework Content Generation Rules: one fixed color-and-label mapping for the five work patterns, used everywhere they’re referenced. Nothing here changes live dashboard, RACI, or print-doc code until approved.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CEC" w:sz="2"/>
              <w:left w:val="single" w:color="B23B3B" w:sz="24"/>
              <w:bottom w:val="single" w:color="FDECEC" w:sz="2"/>
              <w:right w:val="single" w:color="FDECEC" w:sz="2"/>
            </w:tcBorders>
            <w:shd w:fill="FDECEC" w:val="clear"/>
            <w:tcMar>
              <w:top w:type="dxa" w:w="180"/>
              <w:left w:type="dxa" w:w="260"/>
              <w:bottom w:type="dxa" w:w="180"/>
              <w:right w:type="dxa" w:w="260"/>
            </w:tcMar>
          </w:tcPr>
          <w:p>
            <w:r>
              <w:rPr>
                <w:rFonts w:ascii="Segoe UI" w:cs="Segoe UI" w:eastAsia="Segoe UI" w:hAnsi="Segoe UI"/>
                <w:b/>
                <w:bCs/>
                <w:color w:val="5A1717"/>
                <w:sz w:val="19"/>
                <w:szCs w:val="19"/>
              </w:rPr>
              <w:t xml:space="preserve">Token Lock note (Rule 1): </w:t>
            </w:r>
            <w:r>
              <w:rPr>
                <w:rFonts w:ascii="Segoe UI" w:cs="Segoe UI" w:eastAsia="Segoe UI" w:hAnsi="Segoe UI"/>
                <w:color w:val="5A1717"/>
                <w:sz w:val="19"/>
                <w:szCs w:val="19"/>
              </w:rPr>
              <w:t xml:space="preserve">the current locked token set doesn’t include a validated 5-color pattern mapping — the colors in use today were never run through an accessibility check and aren’t part of the token list. This proposal is exactly the case Rule 1 anticipates: “a genuinely new visual need becomes its own proposal, not a local fix.” One deliberate choice inside it — Transaction’s gold is a new, distinct hex, not a reuse of the locked amber (#B8873F), since Rule 1 reserves that color for draft/pending status only, never decorative use.</w:t>
            </w:r>
          </w:p>
        </w:tc>
      </w:tr>
    </w:tbl>
    <w:p>
      <w:pPr>
        <w:spacing w:after="100"/>
      </w:pPr>
    </w:p>
    <w:p>
      <w:pPr>
        <w:spacing w:after="120" w:before="320"/>
      </w:pPr>
      <w:r>
        <w:rPr>
          <w:rFonts w:ascii="Georgia" w:cs="Georgia" w:eastAsia="Georgia" w:hAnsi="Georgia"/>
          <w:b/>
          <w:bCs/>
          <w:color w:val="0D2D4F"/>
          <w:sz w:val="26"/>
          <w:szCs w:val="26"/>
        </w:rPr>
        <w:t xml:space="preserve">Why This Now</w:t>
      </w:r>
    </w:p>
    <w:p>
      <w:pPr>
        <w:spacing w:after="160"/>
      </w:pPr>
      <w:r>
        <w:rPr>
          <w:rFonts w:ascii="Segoe UI" w:cs="Segoe UI" w:eastAsia="Segoe UI" w:hAnsi="Segoe UI"/>
          <w:color w:val="444444"/>
          <w:sz w:val="21"/>
          <w:szCs w:val="21"/>
        </w:rPr>
        <w:t xml:space="preserve">GiGi’s site review asked for the five work patterns to get "a stronger visual identity... consistent labels, subtle color cues" — right now they read more like a legend than building blocks. Before picking new colors, a real colorblind-safety check was run on the current palette rather than eyeballing it, using the same validated method the framework’s own dataviz work uses. It surfaced something worth seeing before choosing new colors: the current palette doesn’t just look plain, it fails.</w:t>
      </w:r>
    </w:p>
    <w:p>
      <w:pPr>
        <w:spacing w:after="120" w:before="320"/>
      </w:pPr>
      <w:r>
        <w:rPr>
          <w:rFonts w:ascii="Georgia" w:cs="Georgia" w:eastAsia="Georgia" w:hAnsi="Georgia"/>
          <w:b/>
          <w:bCs/>
          <w:color w:val="0D2D4F"/>
          <w:sz w:val="26"/>
          <w:szCs w:val="26"/>
        </w:rPr>
        <w:t xml:space="preserve">The Problem</w:t>
      </w:r>
    </w:p>
    <w:p>
      <w:pPr>
        <w:spacing w:after="160"/>
      </w:pPr>
      <w:r>
        <w:rPr>
          <w:rFonts w:ascii="Segoe UI" w:cs="Segoe UI" w:eastAsia="Segoe UI" w:hAnsi="Segoe UI"/>
          <w:color w:val="444444"/>
          <w:sz w:val="21"/>
          <w:szCs w:val="21"/>
        </w:rPr>
        <w:t xml:space="preserve">Transaction (green) and Exception (red) are nearly indistinguishable to a reader with red-green colorblindness — roughly 1 in 12 men. Decision (blue) and Knowledge (violet) are too close even for full-color vision. Both failures show up everywhere the pattern-mix bars, badges, and legend appear: Maturity Table, RACI Table, AI Capability Map, Value Stream Profile pages, and the print docs.</w:t>
      </w:r>
    </w:p>
    <w:p>
      <w:pPr>
        <w:spacing w:after="80" w:before="160"/>
      </w:pPr>
      <w:r>
        <w:rPr>
          <w:rFonts w:ascii="Georgia" w:cs="Georgia" w:eastAsia="Georgia" w:hAnsi="Georgia"/>
          <w:b/>
          <w:bCs/>
          <w:color w:val="1B4F8A"/>
          <w:sz w:val="21"/>
          <w:szCs w:val="21"/>
        </w:rPr>
        <w:t xml:space="preserve">Current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FFFFFF" w:sz="2"/>
              <w:left w:val="single" w:color="FFFFFF" w:sz="2"/>
              <w:bottom w:val="single" w:color="FFFFFF" w:sz="2"/>
              <w:right w:val="single" w:color="FFFFFF" w:sz="2"/>
            </w:tcBorders>
            <w:shd w:fill="7B9FD1" w:val="clear"/>
            <w:tcMar>
              <w:top w:type="dxa" w:w="160"/>
              <w:left w:type="dxa" w:w="0"/>
              <w:bottom w:type="dxa" w:w="160"/>
              <w:right w:type="dxa" w:w="0"/>
            </w:tcMar>
          </w:tcPr>
          <w:p/>
        </w:tc>
        <w:tc>
          <w:tcPr>
            <w:tcW w:type="dxa" w:w="1872"/>
            <w:tcBorders>
              <w:top w:val="single" w:color="FFFFFF" w:sz="2"/>
              <w:left w:val="single" w:color="FFFFFF" w:sz="2"/>
              <w:bottom w:val="single" w:color="FFFFFF" w:sz="2"/>
              <w:right w:val="single" w:color="FFFFFF" w:sz="2"/>
            </w:tcBorders>
            <w:shd w:fill="A79AE0" w:val="clear"/>
            <w:tcMar>
              <w:top w:type="dxa" w:w="160"/>
              <w:left w:type="dxa" w:w="0"/>
              <w:bottom w:type="dxa" w:w="160"/>
              <w:right w:type="dxa" w:w="0"/>
            </w:tcMar>
          </w:tcPr>
          <w:p/>
        </w:tc>
        <w:tc>
          <w:tcPr>
            <w:tcW w:type="dxa" w:w="1872"/>
            <w:tcBorders>
              <w:top w:val="single" w:color="FFFFFF" w:sz="2"/>
              <w:left w:val="single" w:color="FFFFFF" w:sz="2"/>
              <w:bottom w:val="single" w:color="FFFFFF" w:sz="2"/>
              <w:right w:val="single" w:color="FFFFFF" w:sz="2"/>
            </w:tcBorders>
            <w:shd w:fill="5EB8E0" w:val="clear"/>
            <w:tcMar>
              <w:top w:type="dxa" w:w="160"/>
              <w:left w:type="dxa" w:w="0"/>
              <w:bottom w:type="dxa" w:w="160"/>
              <w:right w:type="dxa" w:w="0"/>
            </w:tcMar>
          </w:tcPr>
          <w:p/>
        </w:tc>
        <w:tc>
          <w:tcPr>
            <w:tcW w:type="dxa" w:w="1872"/>
            <w:tcBorders>
              <w:top w:val="single" w:color="FFFFFF" w:sz="2"/>
              <w:left w:val="single" w:color="FFFFFF" w:sz="2"/>
              <w:bottom w:val="single" w:color="FFFFFF" w:sz="2"/>
              <w:right w:val="single" w:color="FFFFFF" w:sz="2"/>
            </w:tcBorders>
            <w:shd w:fill="6FC48C" w:val="clear"/>
            <w:tcMar>
              <w:top w:type="dxa" w:w="160"/>
              <w:left w:type="dxa" w:w="0"/>
              <w:bottom w:type="dxa" w:w="160"/>
              <w:right w:type="dxa" w:w="0"/>
            </w:tcMar>
          </w:tcPr>
          <w:p/>
        </w:tc>
        <w:tc>
          <w:tcPr>
            <w:tcW w:type="dxa" w:w="1872"/>
            <w:tcBorders>
              <w:top w:val="single" w:color="FFFFFF" w:sz="2"/>
              <w:left w:val="single" w:color="FFFFFF" w:sz="2"/>
              <w:bottom w:val="single" w:color="FFFFFF" w:sz="2"/>
              <w:right w:val="single" w:color="FFFFFF" w:sz="2"/>
            </w:tcBorders>
            <w:shd w:fill="E88A8A" w:val="clear"/>
            <w:tcMar>
              <w:top w:type="dxa" w:w="160"/>
              <w:left w:type="dxa" w:w="0"/>
              <w:bottom w:type="dxa" w:w="160"/>
              <w:right w:type="dxa" w:w="0"/>
            </w:tcMar>
          </w:tcPr>
          <w:p/>
        </w:tc>
      </w:tr>
      <w:tr>
        <w:tc>
          <w:tcPr>
            <w:tcW w:type="dxa" w:w="1872"/>
            <w:tcBorders>
              <w:top w:val="single" w:color="FFFFFF" w:sz="2"/>
              <w:left w:val="single" w:color="FFFFFF" w:sz="2"/>
              <w:bottom w:val="single" w:color="FFFFFF" w:sz="2"/>
              <w:right w:val="single" w:color="FFFFFF" w:sz="2"/>
            </w:tcBorders>
            <w:tcMar>
              <w:top w:type="dxa" w:w="60"/>
              <w:left w:type="dxa" w:w="40"/>
              <w:bottom w:type="dxa" w:w="100"/>
              <w:right w:type="dxa" w:w="40"/>
            </w:tcMar>
          </w:tcPr>
          <w:p>
            <w:pPr>
              <w:jc w:val="center"/>
            </w:pPr>
            <w:r>
              <w:rPr>
                <w:rFonts w:ascii="Segoe UI" w:cs="Segoe UI" w:eastAsia="Segoe UI" w:hAnsi="Segoe UI"/>
                <w:b/>
                <w:bCs/>
                <w:color w:val="333333"/>
                <w:sz w:val="16"/>
                <w:szCs w:val="16"/>
              </w:rPr>
              <w:t xml:space="preserve">Decision</w:t>
            </w:r>
          </w:p>
          <w:p>
            <w:pPr>
              <w:jc w:val="center"/>
            </w:pPr>
            <w:r>
              <w:rPr>
                <w:rFonts w:ascii="Consolas" w:cs="Consolas" w:eastAsia="Consolas" w:hAnsi="Consolas"/>
                <w:color w:val="888888"/>
                <w:sz w:val="14"/>
                <w:szCs w:val="14"/>
              </w:rPr>
              <w:t xml:space="preserve">7B9FD1</w:t>
            </w:r>
          </w:p>
        </w:tc>
        <w:tc>
          <w:tcPr>
            <w:tcW w:type="dxa" w:w="1872"/>
            <w:tcBorders>
              <w:top w:val="single" w:color="FFFFFF" w:sz="2"/>
              <w:left w:val="single" w:color="FFFFFF" w:sz="2"/>
              <w:bottom w:val="single" w:color="FFFFFF" w:sz="2"/>
              <w:right w:val="single" w:color="FFFFFF" w:sz="2"/>
            </w:tcBorders>
            <w:tcMar>
              <w:top w:type="dxa" w:w="60"/>
              <w:left w:type="dxa" w:w="40"/>
              <w:bottom w:type="dxa" w:w="100"/>
              <w:right w:type="dxa" w:w="40"/>
            </w:tcMar>
          </w:tcPr>
          <w:p>
            <w:pPr>
              <w:jc w:val="center"/>
            </w:pPr>
            <w:r>
              <w:rPr>
                <w:rFonts w:ascii="Segoe UI" w:cs="Segoe UI" w:eastAsia="Segoe UI" w:hAnsi="Segoe UI"/>
                <w:b/>
                <w:bCs/>
                <w:color w:val="333333"/>
                <w:sz w:val="16"/>
                <w:szCs w:val="16"/>
              </w:rPr>
              <w:t xml:space="preserve">Knowledge</w:t>
            </w:r>
          </w:p>
          <w:p>
            <w:pPr>
              <w:jc w:val="center"/>
            </w:pPr>
            <w:r>
              <w:rPr>
                <w:rFonts w:ascii="Consolas" w:cs="Consolas" w:eastAsia="Consolas" w:hAnsi="Consolas"/>
                <w:color w:val="888888"/>
                <w:sz w:val="14"/>
                <w:szCs w:val="14"/>
              </w:rPr>
              <w:t xml:space="preserve">A79AE0</w:t>
            </w:r>
          </w:p>
        </w:tc>
        <w:tc>
          <w:tcPr>
            <w:tcW w:type="dxa" w:w="1872"/>
            <w:tcBorders>
              <w:top w:val="single" w:color="FFFFFF" w:sz="2"/>
              <w:left w:val="single" w:color="FFFFFF" w:sz="2"/>
              <w:bottom w:val="single" w:color="FFFFFF" w:sz="2"/>
              <w:right w:val="single" w:color="FFFFFF" w:sz="2"/>
            </w:tcBorders>
            <w:tcMar>
              <w:top w:type="dxa" w:w="60"/>
              <w:left w:type="dxa" w:w="40"/>
              <w:bottom w:type="dxa" w:w="100"/>
              <w:right w:type="dxa" w:w="40"/>
            </w:tcMar>
          </w:tcPr>
          <w:p>
            <w:pPr>
              <w:jc w:val="center"/>
            </w:pPr>
            <w:r>
              <w:rPr>
                <w:rFonts w:ascii="Segoe UI" w:cs="Segoe UI" w:eastAsia="Segoe UI" w:hAnsi="Segoe UI"/>
                <w:b/>
                <w:bCs/>
                <w:color w:val="333333"/>
                <w:sz w:val="16"/>
                <w:szCs w:val="16"/>
              </w:rPr>
              <w:t xml:space="preserve">Document</w:t>
            </w:r>
          </w:p>
          <w:p>
            <w:pPr>
              <w:jc w:val="center"/>
            </w:pPr>
            <w:r>
              <w:rPr>
                <w:rFonts w:ascii="Consolas" w:cs="Consolas" w:eastAsia="Consolas" w:hAnsi="Consolas"/>
                <w:color w:val="888888"/>
                <w:sz w:val="14"/>
                <w:szCs w:val="14"/>
              </w:rPr>
              <w:t xml:space="preserve">5EB8E0</w:t>
            </w:r>
          </w:p>
        </w:tc>
        <w:tc>
          <w:tcPr>
            <w:tcW w:type="dxa" w:w="1872"/>
            <w:tcBorders>
              <w:top w:val="single" w:color="FFFFFF" w:sz="2"/>
              <w:left w:val="single" w:color="FFFFFF" w:sz="2"/>
              <w:bottom w:val="single" w:color="FFFFFF" w:sz="2"/>
              <w:right w:val="single" w:color="FFFFFF" w:sz="2"/>
            </w:tcBorders>
            <w:tcMar>
              <w:top w:type="dxa" w:w="60"/>
              <w:left w:type="dxa" w:w="40"/>
              <w:bottom w:type="dxa" w:w="100"/>
              <w:right w:type="dxa" w:w="40"/>
            </w:tcMar>
          </w:tcPr>
          <w:p>
            <w:pPr>
              <w:jc w:val="center"/>
            </w:pPr>
            <w:r>
              <w:rPr>
                <w:rFonts w:ascii="Segoe UI" w:cs="Segoe UI" w:eastAsia="Segoe UI" w:hAnsi="Segoe UI"/>
                <w:b/>
                <w:bCs/>
                <w:color w:val="333333"/>
                <w:sz w:val="16"/>
                <w:szCs w:val="16"/>
              </w:rPr>
              <w:t xml:space="preserve">Transaction</w:t>
            </w:r>
          </w:p>
          <w:p>
            <w:pPr>
              <w:jc w:val="center"/>
            </w:pPr>
            <w:r>
              <w:rPr>
                <w:rFonts w:ascii="Consolas" w:cs="Consolas" w:eastAsia="Consolas" w:hAnsi="Consolas"/>
                <w:color w:val="888888"/>
                <w:sz w:val="14"/>
                <w:szCs w:val="14"/>
              </w:rPr>
              <w:t xml:space="preserve">6FC48C</w:t>
            </w:r>
          </w:p>
        </w:tc>
        <w:tc>
          <w:tcPr>
            <w:tcW w:type="dxa" w:w="1872"/>
            <w:tcBorders>
              <w:top w:val="single" w:color="FFFFFF" w:sz="2"/>
              <w:left w:val="single" w:color="FFFFFF" w:sz="2"/>
              <w:bottom w:val="single" w:color="FFFFFF" w:sz="2"/>
              <w:right w:val="single" w:color="FFFFFF" w:sz="2"/>
            </w:tcBorders>
            <w:tcMar>
              <w:top w:type="dxa" w:w="60"/>
              <w:left w:type="dxa" w:w="40"/>
              <w:bottom w:type="dxa" w:w="100"/>
              <w:right w:type="dxa" w:w="40"/>
            </w:tcMar>
          </w:tcPr>
          <w:p>
            <w:pPr>
              <w:jc w:val="center"/>
            </w:pPr>
            <w:r>
              <w:rPr>
                <w:rFonts w:ascii="Segoe UI" w:cs="Segoe UI" w:eastAsia="Segoe UI" w:hAnsi="Segoe UI"/>
                <w:b/>
                <w:bCs/>
                <w:color w:val="333333"/>
                <w:sz w:val="16"/>
                <w:szCs w:val="16"/>
              </w:rPr>
              <w:t xml:space="preserve">Exception</w:t>
            </w:r>
          </w:p>
          <w:p>
            <w:pPr>
              <w:jc w:val="center"/>
            </w:pPr>
            <w:r>
              <w:rPr>
                <w:rFonts w:ascii="Consolas" w:cs="Consolas" w:eastAsia="Consolas" w:hAnsi="Consolas"/>
                <w:color w:val="888888"/>
                <w:sz w:val="14"/>
                <w:szCs w:val="14"/>
              </w:rPr>
              <w:t xml:space="preserve">E88A8A</w:t>
            </w:r>
          </w:p>
        </w:tc>
      </w:tr>
    </w:tbl>
    <w:p>
      <w:pPr>
        <w:spacing w:after="120"/>
      </w:pPr>
    </w:p>
    <w:p>
      <w:pPr>
        <w:spacing w:after="200"/>
      </w:pPr>
      <w:r>
        <w:rPr>
          <w:rFonts w:ascii="Segoe UI" w:cs="Segoe UI" w:eastAsia="Segoe UI" w:hAnsi="Segoe UI"/>
          <w:i/>
          <w:iCs/>
          <w:color w:val="888888"/>
          <w:sz w:val="18"/>
          <w:szCs w:val="18"/>
        </w:rPr>
        <w:t xml:space="preserve">Measured: Transaction vs. Exception at ΔE 1.2 under deuteranopia simulation (essentially identical); Decision vs. Knowledge at ΔE 6.5 even under normal color vision (below the 15-point threshold for "easy to tell apart"). See the live HTML page for the simulated side-by-side.</w:t>
      </w:r>
    </w:p>
    <w:p>
      <w:pPr>
        <w:spacing w:after="120" w:before="320"/>
      </w:pPr>
      <w:r>
        <w:rPr>
          <w:rFonts w:ascii="Georgia" w:cs="Georgia" w:eastAsia="Georgia" w:hAnsi="Georgia"/>
          <w:b/>
          <w:bCs/>
          <w:color w:val="0D2D4F"/>
          <w:sz w:val="26"/>
          <w:szCs w:val="26"/>
        </w:rPr>
        <w:t xml:space="preserve">The Recommendation</w:t>
      </w:r>
    </w:p>
    <w:p>
      <w:pPr>
        <w:spacing w:after="160"/>
      </w:pPr>
      <w:r>
        <w:rPr>
          <w:rFonts w:ascii="Segoe UI" w:cs="Segoe UI" w:eastAsia="Segoe UI" w:hAnsi="Segoe UI"/>
          <w:color w:val="444444"/>
          <w:sz w:val="21"/>
          <w:szCs w:val="21"/>
        </w:rPr>
        <w:t xml:space="preserve">Two changes together, not one. First, the five hues move: Document shifts from a blue-adjacent cyan to teal, and Transaction shifts from green to gold — the change that actually breaks the red-green collision, not a shade adjustment. Second, badges stop coloring the pattern name itself — a small colored dot carries the identity, the label stays plain dark ink, matching how the legend already works. That second change is what lets the palette stay muted and coordinated with the framework’s navy identity without asking any single color to double as both an identity cue and a readable text color.</w:t>
      </w:r>
    </w:p>
    <w:p>
      <w:pPr>
        <w:spacing w:after="80" w:before="160"/>
      </w:pPr>
      <w:r>
        <w:rPr>
          <w:rFonts w:ascii="Georgia" w:cs="Georgia" w:eastAsia="Georgia" w:hAnsi="Georgia"/>
          <w:b/>
          <w:bCs/>
          <w:color w:val="1B4F8A"/>
          <w:sz w:val="21"/>
          <w:szCs w:val="21"/>
        </w:rPr>
        <w:t xml:space="preserve">Recommended palette — dot + plain-ink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FFFFFF" w:sz="2"/>
              <w:left w:val="single" w:color="FFFFFF" w:sz="2"/>
              <w:bottom w:val="single" w:color="FFFFFF" w:sz="2"/>
              <w:right w:val="single" w:color="FFFFFF" w:sz="2"/>
            </w:tcBorders>
            <w:shd w:fill="1A5C9C" w:val="clear"/>
            <w:tcMar>
              <w:top w:type="dxa" w:w="160"/>
              <w:left w:type="dxa" w:w="0"/>
              <w:bottom w:type="dxa" w:w="160"/>
              <w:right w:type="dxa" w:w="0"/>
            </w:tcMar>
          </w:tcPr>
          <w:p/>
        </w:tc>
        <w:tc>
          <w:tcPr>
            <w:tcW w:type="dxa" w:w="1872"/>
            <w:tcBorders>
              <w:top w:val="single" w:color="FFFFFF" w:sz="2"/>
              <w:left w:val="single" w:color="FFFFFF" w:sz="2"/>
              <w:bottom w:val="single" w:color="FFFFFF" w:sz="2"/>
              <w:right w:val="single" w:color="FFFFFF" w:sz="2"/>
            </w:tcBorders>
            <w:shd w:fill="9B7BC4" w:val="clear"/>
            <w:tcMar>
              <w:top w:type="dxa" w:w="160"/>
              <w:left w:type="dxa" w:w="0"/>
              <w:bottom w:type="dxa" w:w="160"/>
              <w:right w:type="dxa" w:w="0"/>
            </w:tcMar>
          </w:tcPr>
          <w:p/>
        </w:tc>
        <w:tc>
          <w:tcPr>
            <w:tcW w:type="dxa" w:w="1872"/>
            <w:tcBorders>
              <w:top w:val="single" w:color="FFFFFF" w:sz="2"/>
              <w:left w:val="single" w:color="FFFFFF" w:sz="2"/>
              <w:bottom w:val="single" w:color="FFFFFF" w:sz="2"/>
              <w:right w:val="single" w:color="FFFFFF" w:sz="2"/>
            </w:tcBorders>
            <w:shd w:fill="0F8C7E" w:val="clear"/>
            <w:tcMar>
              <w:top w:type="dxa" w:w="160"/>
              <w:left w:type="dxa" w:w="0"/>
              <w:bottom w:type="dxa" w:w="160"/>
              <w:right w:type="dxa" w:w="0"/>
            </w:tcMar>
          </w:tcPr>
          <w:p/>
        </w:tc>
        <w:tc>
          <w:tcPr>
            <w:tcW w:type="dxa" w:w="1872"/>
            <w:tcBorders>
              <w:top w:val="single" w:color="FFFFFF" w:sz="2"/>
              <w:left w:val="single" w:color="FFFFFF" w:sz="2"/>
              <w:bottom w:val="single" w:color="FFFFFF" w:sz="2"/>
              <w:right w:val="single" w:color="FFFFFF" w:sz="2"/>
            </w:tcBorders>
            <w:shd w:fill="A97C2F" w:val="clear"/>
            <w:tcMar>
              <w:top w:type="dxa" w:w="160"/>
              <w:left w:type="dxa" w:w="0"/>
              <w:bottom w:type="dxa" w:w="160"/>
              <w:right w:type="dxa" w:w="0"/>
            </w:tcMar>
          </w:tcPr>
          <w:p/>
        </w:tc>
        <w:tc>
          <w:tcPr>
            <w:tcW w:type="dxa" w:w="1872"/>
            <w:tcBorders>
              <w:top w:val="single" w:color="FFFFFF" w:sz="2"/>
              <w:left w:val="single" w:color="FFFFFF" w:sz="2"/>
              <w:bottom w:val="single" w:color="FFFFFF" w:sz="2"/>
              <w:right w:val="single" w:color="FFFFFF" w:sz="2"/>
            </w:tcBorders>
            <w:shd w:fill="B23B3B" w:val="clear"/>
            <w:tcMar>
              <w:top w:type="dxa" w:w="160"/>
              <w:left w:type="dxa" w:w="0"/>
              <w:bottom w:type="dxa" w:w="160"/>
              <w:right w:type="dxa" w:w="0"/>
            </w:tcMar>
          </w:tcPr>
          <w:p/>
        </w:tc>
      </w:tr>
      <w:tr>
        <w:tc>
          <w:tcPr>
            <w:tcW w:type="dxa" w:w="1872"/>
            <w:tcBorders>
              <w:top w:val="single" w:color="FFFFFF" w:sz="2"/>
              <w:left w:val="single" w:color="FFFFFF" w:sz="2"/>
              <w:bottom w:val="single" w:color="FFFFFF" w:sz="2"/>
              <w:right w:val="single" w:color="FFFFFF" w:sz="2"/>
            </w:tcBorders>
            <w:tcMar>
              <w:top w:type="dxa" w:w="60"/>
              <w:left w:type="dxa" w:w="40"/>
              <w:bottom w:type="dxa" w:w="100"/>
              <w:right w:type="dxa" w:w="40"/>
            </w:tcMar>
          </w:tcPr>
          <w:p>
            <w:pPr>
              <w:jc w:val="center"/>
            </w:pPr>
            <w:r>
              <w:rPr>
                <w:rFonts w:ascii="Segoe UI" w:cs="Segoe UI" w:eastAsia="Segoe UI" w:hAnsi="Segoe UI"/>
                <w:b/>
                <w:bCs/>
                <w:color w:val="333333"/>
                <w:sz w:val="16"/>
                <w:szCs w:val="16"/>
              </w:rPr>
              <w:t xml:space="preserve">Decision</w:t>
            </w:r>
          </w:p>
          <w:p>
            <w:pPr>
              <w:jc w:val="center"/>
            </w:pPr>
            <w:r>
              <w:rPr>
                <w:rFonts w:ascii="Consolas" w:cs="Consolas" w:eastAsia="Consolas" w:hAnsi="Consolas"/>
                <w:color w:val="888888"/>
                <w:sz w:val="14"/>
                <w:szCs w:val="14"/>
              </w:rPr>
              <w:t xml:space="preserve">1A5C9C</w:t>
            </w:r>
          </w:p>
        </w:tc>
        <w:tc>
          <w:tcPr>
            <w:tcW w:type="dxa" w:w="1872"/>
            <w:tcBorders>
              <w:top w:val="single" w:color="FFFFFF" w:sz="2"/>
              <w:left w:val="single" w:color="FFFFFF" w:sz="2"/>
              <w:bottom w:val="single" w:color="FFFFFF" w:sz="2"/>
              <w:right w:val="single" w:color="FFFFFF" w:sz="2"/>
            </w:tcBorders>
            <w:tcMar>
              <w:top w:type="dxa" w:w="60"/>
              <w:left w:type="dxa" w:w="40"/>
              <w:bottom w:type="dxa" w:w="100"/>
              <w:right w:type="dxa" w:w="40"/>
            </w:tcMar>
          </w:tcPr>
          <w:p>
            <w:pPr>
              <w:jc w:val="center"/>
            </w:pPr>
            <w:r>
              <w:rPr>
                <w:rFonts w:ascii="Segoe UI" w:cs="Segoe UI" w:eastAsia="Segoe UI" w:hAnsi="Segoe UI"/>
                <w:b/>
                <w:bCs/>
                <w:color w:val="333333"/>
                <w:sz w:val="16"/>
                <w:szCs w:val="16"/>
              </w:rPr>
              <w:t xml:space="preserve">Knowledge</w:t>
            </w:r>
          </w:p>
          <w:p>
            <w:pPr>
              <w:jc w:val="center"/>
            </w:pPr>
            <w:r>
              <w:rPr>
                <w:rFonts w:ascii="Consolas" w:cs="Consolas" w:eastAsia="Consolas" w:hAnsi="Consolas"/>
                <w:color w:val="888888"/>
                <w:sz w:val="14"/>
                <w:szCs w:val="14"/>
              </w:rPr>
              <w:t xml:space="preserve">9B7BC4</w:t>
            </w:r>
          </w:p>
        </w:tc>
        <w:tc>
          <w:tcPr>
            <w:tcW w:type="dxa" w:w="1872"/>
            <w:tcBorders>
              <w:top w:val="single" w:color="FFFFFF" w:sz="2"/>
              <w:left w:val="single" w:color="FFFFFF" w:sz="2"/>
              <w:bottom w:val="single" w:color="FFFFFF" w:sz="2"/>
              <w:right w:val="single" w:color="FFFFFF" w:sz="2"/>
            </w:tcBorders>
            <w:tcMar>
              <w:top w:type="dxa" w:w="60"/>
              <w:left w:type="dxa" w:w="40"/>
              <w:bottom w:type="dxa" w:w="100"/>
              <w:right w:type="dxa" w:w="40"/>
            </w:tcMar>
          </w:tcPr>
          <w:p>
            <w:pPr>
              <w:jc w:val="center"/>
            </w:pPr>
            <w:r>
              <w:rPr>
                <w:rFonts w:ascii="Segoe UI" w:cs="Segoe UI" w:eastAsia="Segoe UI" w:hAnsi="Segoe UI"/>
                <w:b/>
                <w:bCs/>
                <w:color w:val="333333"/>
                <w:sz w:val="16"/>
                <w:szCs w:val="16"/>
              </w:rPr>
              <w:t xml:space="preserve">Document</w:t>
            </w:r>
          </w:p>
          <w:p>
            <w:pPr>
              <w:jc w:val="center"/>
            </w:pPr>
            <w:r>
              <w:rPr>
                <w:rFonts w:ascii="Consolas" w:cs="Consolas" w:eastAsia="Consolas" w:hAnsi="Consolas"/>
                <w:color w:val="888888"/>
                <w:sz w:val="14"/>
                <w:szCs w:val="14"/>
              </w:rPr>
              <w:t xml:space="preserve">0F8C7E</w:t>
            </w:r>
          </w:p>
        </w:tc>
        <w:tc>
          <w:tcPr>
            <w:tcW w:type="dxa" w:w="1872"/>
            <w:tcBorders>
              <w:top w:val="single" w:color="FFFFFF" w:sz="2"/>
              <w:left w:val="single" w:color="FFFFFF" w:sz="2"/>
              <w:bottom w:val="single" w:color="FFFFFF" w:sz="2"/>
              <w:right w:val="single" w:color="FFFFFF" w:sz="2"/>
            </w:tcBorders>
            <w:tcMar>
              <w:top w:type="dxa" w:w="60"/>
              <w:left w:type="dxa" w:w="40"/>
              <w:bottom w:type="dxa" w:w="100"/>
              <w:right w:type="dxa" w:w="40"/>
            </w:tcMar>
          </w:tcPr>
          <w:p>
            <w:pPr>
              <w:jc w:val="center"/>
            </w:pPr>
            <w:r>
              <w:rPr>
                <w:rFonts w:ascii="Segoe UI" w:cs="Segoe UI" w:eastAsia="Segoe UI" w:hAnsi="Segoe UI"/>
                <w:b/>
                <w:bCs/>
                <w:color w:val="333333"/>
                <w:sz w:val="16"/>
                <w:szCs w:val="16"/>
              </w:rPr>
              <w:t xml:space="preserve">Transaction</w:t>
            </w:r>
          </w:p>
          <w:p>
            <w:pPr>
              <w:jc w:val="center"/>
            </w:pPr>
            <w:r>
              <w:rPr>
                <w:rFonts w:ascii="Consolas" w:cs="Consolas" w:eastAsia="Consolas" w:hAnsi="Consolas"/>
                <w:color w:val="888888"/>
                <w:sz w:val="14"/>
                <w:szCs w:val="14"/>
              </w:rPr>
              <w:t xml:space="preserve">A97C2F</w:t>
            </w:r>
          </w:p>
        </w:tc>
        <w:tc>
          <w:tcPr>
            <w:tcW w:type="dxa" w:w="1872"/>
            <w:tcBorders>
              <w:top w:val="single" w:color="FFFFFF" w:sz="2"/>
              <w:left w:val="single" w:color="FFFFFF" w:sz="2"/>
              <w:bottom w:val="single" w:color="FFFFFF" w:sz="2"/>
              <w:right w:val="single" w:color="FFFFFF" w:sz="2"/>
            </w:tcBorders>
            <w:tcMar>
              <w:top w:type="dxa" w:w="60"/>
              <w:left w:type="dxa" w:w="40"/>
              <w:bottom w:type="dxa" w:w="100"/>
              <w:right w:type="dxa" w:w="40"/>
            </w:tcMar>
          </w:tcPr>
          <w:p>
            <w:pPr>
              <w:jc w:val="center"/>
            </w:pPr>
            <w:r>
              <w:rPr>
                <w:rFonts w:ascii="Segoe UI" w:cs="Segoe UI" w:eastAsia="Segoe UI" w:hAnsi="Segoe UI"/>
                <w:b/>
                <w:bCs/>
                <w:color w:val="333333"/>
                <w:sz w:val="16"/>
                <w:szCs w:val="16"/>
              </w:rPr>
              <w:t xml:space="preserve">Exception</w:t>
            </w:r>
          </w:p>
          <w:p>
            <w:pPr>
              <w:jc w:val="center"/>
            </w:pPr>
            <w:r>
              <w:rPr>
                <w:rFonts w:ascii="Consolas" w:cs="Consolas" w:eastAsia="Consolas" w:hAnsi="Consolas"/>
                <w:color w:val="888888"/>
                <w:sz w:val="14"/>
                <w:szCs w:val="14"/>
              </w:rPr>
              <w:t xml:space="preserve">B23B3B</w:t>
            </w:r>
          </w:p>
        </w:tc>
      </w:tr>
    </w:tbl>
    <w:p>
      <w:pPr>
        <w:spacing w:after="120"/>
      </w:pPr>
    </w:p>
    <w:p>
      <w:pPr>
        <w:spacing w:after="200"/>
      </w:pPr>
      <w:r>
        <w:rPr>
          <w:rFonts w:ascii="Segoe UI" w:cs="Segoe UI" w:eastAsia="Segoe UI" w:hAnsi="Segoe UI"/>
          <w:i/>
          <w:iCs/>
          <w:color w:val="888888"/>
          <w:sz w:val="18"/>
          <w:szCs w:val="18"/>
        </w:rPr>
        <w:t xml:space="preserve">Validated: worst colorblind-pair ΔE 9.4, worst full-color-vision pair ΔE 15.6 — both clear of the safety floors. No badge, bar, or legend dot relies on hue alone to carry meaning.</w:t>
      </w:r>
    </w:p>
    <w:p>
      <w:pPr>
        <w:spacing w:after="120" w:before="320"/>
      </w:pPr>
      <w:r>
        <w:rPr>
          <w:rFonts w:ascii="Georgia" w:cs="Georgia" w:eastAsia="Georgia" w:hAnsi="Georgia"/>
          <w:b/>
          <w:bCs/>
          <w:color w:val="0D2D4F"/>
          <w:sz w:val="26"/>
          <w:szCs w:val="26"/>
        </w:rPr>
        <w:t xml:space="preserve">Proposed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tcBorders>
              <w:top w:val="single" w:color="DDE3EE" w:sz="2"/>
              <w:left w:val="single" w:color="DDE3EE" w:sz="2"/>
              <w:bottom w:val="single" w:color="DDE3EE" w:sz="2"/>
              <w:right w:val="single" w:color="DDE3EE" w:sz="2"/>
            </w:tcBorders>
            <w:shd w:fill="1B4F8A" w:val="clear"/>
            <w:tcMar>
              <w:top w:type="dxa" w:w="100"/>
              <w:left w:type="dxa" w:w="120"/>
              <w:bottom w:type="dxa" w:w="60"/>
              <w:right w:type="dxa" w:w="120"/>
            </w:tcMar>
            <w:vAlign w:val="bottom"/>
          </w:tcPr>
          <w:p>
            <w:r>
              <w:rPr>
                <w:rFonts w:ascii="Segoe UI" w:cs="Segoe UI" w:eastAsia="Segoe UI" w:hAnsi="Segoe UI"/>
                <w:b/>
                <w:bCs/>
                <w:color w:val="FFFFFF"/>
                <w:sz w:val="18"/>
                <w:szCs w:val="18"/>
              </w:rPr>
              <w:t xml:space="preserve">Pattern</w:t>
            </w:r>
          </w:p>
        </w:tc>
        <w:tc>
          <w:tcPr>
            <w:tcW w:type="dxa" w:w="1500"/>
            <w:tcBorders>
              <w:top w:val="single" w:color="DDE3EE" w:sz="2"/>
              <w:left w:val="single" w:color="DDE3EE" w:sz="2"/>
              <w:bottom w:val="single" w:color="DDE3EE" w:sz="2"/>
              <w:right w:val="single" w:color="DDE3EE" w:sz="2"/>
            </w:tcBorders>
            <w:shd w:fill="1B4F8A" w:val="clear"/>
            <w:tcMar>
              <w:top w:type="dxa" w:w="100"/>
              <w:left w:type="dxa" w:w="120"/>
              <w:bottom w:type="dxa" w:w="60"/>
              <w:right w:type="dxa" w:w="120"/>
            </w:tcMar>
            <w:vAlign w:val="bottom"/>
          </w:tcPr>
          <w:p>
            <w:r>
              <w:rPr>
                <w:rFonts w:ascii="Segoe UI" w:cs="Segoe UI" w:eastAsia="Segoe UI" w:hAnsi="Segoe UI"/>
                <w:b/>
                <w:bCs/>
                <w:color w:val="FFFFFF"/>
                <w:sz w:val="18"/>
                <w:szCs w:val="18"/>
              </w:rPr>
              <w:t xml:space="preserve">Hex</w:t>
            </w:r>
          </w:p>
        </w:tc>
        <w:tc>
          <w:tcPr>
            <w:tcW w:type="dxa" w:w="6060"/>
            <w:tcBorders>
              <w:top w:val="single" w:color="DDE3EE" w:sz="2"/>
              <w:left w:val="single" w:color="DDE3EE" w:sz="2"/>
              <w:bottom w:val="single" w:color="DDE3EE" w:sz="2"/>
              <w:right w:val="single" w:color="DDE3EE" w:sz="2"/>
            </w:tcBorders>
            <w:shd w:fill="1B4F8A" w:val="clear"/>
            <w:tcMar>
              <w:top w:type="dxa" w:w="100"/>
              <w:left w:type="dxa" w:w="120"/>
              <w:bottom w:type="dxa" w:w="60"/>
              <w:right w:type="dxa" w:w="120"/>
            </w:tcMar>
            <w:vAlign w:val="bottom"/>
          </w:tcPr>
          <w:p>
            <w:r>
              <w:rPr>
                <w:rFonts w:ascii="Segoe UI" w:cs="Segoe UI" w:eastAsia="Segoe UI" w:hAnsi="Segoe UI"/>
                <w:b/>
                <w:bCs/>
                <w:color w:val="FFFFFF"/>
                <w:sz w:val="18"/>
                <w:szCs w:val="18"/>
              </w:rPr>
              <w:t xml:space="preserve">Note</w:t>
            </w:r>
          </w:p>
        </w:tc>
      </w:tr>
      <w:tr>
        <w:tc>
          <w:tcPr>
            <w:tcW w:type="dxa" w:w="180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bCs/>
                <w:i w:val="false"/>
                <w:iCs w:val="false"/>
                <w:color w:val="1B4F8A"/>
                <w:sz w:val="20"/>
                <w:szCs w:val="20"/>
              </w:rPr>
              <w:t xml:space="preserve">Decision</w:t>
            </w:r>
          </w:p>
        </w:tc>
        <w:tc>
          <w:tcPr>
            <w:tcW w:type="dxa" w:w="150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Consolas" w:cs="Consolas" w:eastAsia="Consolas" w:hAnsi="Consolas"/>
                <w:b w:val="false"/>
                <w:bCs w:val="false"/>
                <w:i w:val="false"/>
                <w:iCs w:val="false"/>
                <w:color w:val="222222"/>
                <w:sz w:val="20"/>
                <w:szCs w:val="20"/>
              </w:rPr>
              <w:t xml:space="preserve">#1A5C9C</w:t>
            </w:r>
          </w:p>
        </w:tc>
        <w:tc>
          <w:tcPr>
            <w:tcW w:type="dxa" w:w="606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val="false"/>
                <w:bCs w:val="false"/>
                <w:i w:val="false"/>
                <w:iCs w:val="false"/>
                <w:color w:val="222222"/>
                <w:sz w:val="20"/>
                <w:szCs w:val="20"/>
              </w:rPr>
              <w:t xml:space="preserve">Nearly the framework’s own locked navy (#1B4F8A) — nudged just enough to separate from Knowledge</w:t>
            </w:r>
          </w:p>
        </w:tc>
      </w:tr>
      <w:tr>
        <w:tc>
          <w:tcPr>
            <w:tcW w:type="dxa" w:w="180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bCs/>
                <w:i w:val="false"/>
                <w:iCs w:val="false"/>
                <w:color w:val="1B4F8A"/>
                <w:sz w:val="20"/>
                <w:szCs w:val="20"/>
              </w:rPr>
              <w:t xml:space="preserve">Knowledge</w:t>
            </w:r>
          </w:p>
        </w:tc>
        <w:tc>
          <w:tcPr>
            <w:tcW w:type="dxa" w:w="150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Consolas" w:cs="Consolas" w:eastAsia="Consolas" w:hAnsi="Consolas"/>
                <w:b w:val="false"/>
                <w:bCs w:val="false"/>
                <w:i w:val="false"/>
                <w:iCs w:val="false"/>
                <w:color w:val="222222"/>
                <w:sz w:val="20"/>
                <w:szCs w:val="20"/>
              </w:rPr>
              <w:t xml:space="preserve">#9B7BC4</w:t>
            </w:r>
          </w:p>
        </w:tc>
        <w:tc>
          <w:tcPr>
            <w:tcW w:type="dxa" w:w="606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val="false"/>
                <w:bCs w:val="false"/>
                <w:i w:val="false"/>
                <w:iCs w:val="false"/>
                <w:color w:val="222222"/>
                <w:sz w:val="20"/>
                <w:szCs w:val="20"/>
              </w:rPr>
              <w:t xml:space="preserve">Dusty violet, softened from the current bright purple</w:t>
            </w:r>
          </w:p>
        </w:tc>
      </w:tr>
      <w:tr>
        <w:tc>
          <w:tcPr>
            <w:tcW w:type="dxa" w:w="180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bCs/>
                <w:i w:val="false"/>
                <w:iCs w:val="false"/>
                <w:color w:val="1B4F8A"/>
                <w:sz w:val="20"/>
                <w:szCs w:val="20"/>
              </w:rPr>
              <w:t xml:space="preserve">Document</w:t>
            </w:r>
          </w:p>
        </w:tc>
        <w:tc>
          <w:tcPr>
            <w:tcW w:type="dxa" w:w="150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Consolas" w:cs="Consolas" w:eastAsia="Consolas" w:hAnsi="Consolas"/>
                <w:b w:val="false"/>
                <w:bCs w:val="false"/>
                <w:i w:val="false"/>
                <w:iCs w:val="false"/>
                <w:color w:val="222222"/>
                <w:sz w:val="20"/>
                <w:szCs w:val="20"/>
              </w:rPr>
              <w:t xml:space="preserve">#0F8C7E</w:t>
            </w:r>
          </w:p>
        </w:tc>
        <w:tc>
          <w:tcPr>
            <w:tcW w:type="dxa" w:w="606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val="false"/>
                <w:bCs w:val="false"/>
                <w:i w:val="false"/>
                <w:iCs w:val="false"/>
                <w:color w:val="222222"/>
                <w:sz w:val="20"/>
                <w:szCs w:val="20"/>
              </w:rPr>
              <w:t xml:space="preserve">Muted teal — moved off blue so it stops crowding Decision</w:t>
            </w:r>
          </w:p>
        </w:tc>
      </w:tr>
      <w:tr>
        <w:tc>
          <w:tcPr>
            <w:tcW w:type="dxa" w:w="180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bCs/>
                <w:i w:val="false"/>
                <w:iCs w:val="false"/>
                <w:color w:val="1B4F8A"/>
                <w:sz w:val="20"/>
                <w:szCs w:val="20"/>
              </w:rPr>
              <w:t xml:space="preserve">Transaction</w:t>
            </w:r>
          </w:p>
        </w:tc>
        <w:tc>
          <w:tcPr>
            <w:tcW w:type="dxa" w:w="150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Consolas" w:cs="Consolas" w:eastAsia="Consolas" w:hAnsi="Consolas"/>
                <w:b w:val="false"/>
                <w:bCs w:val="false"/>
                <w:i w:val="false"/>
                <w:iCs w:val="false"/>
                <w:color w:val="222222"/>
                <w:sz w:val="20"/>
                <w:szCs w:val="20"/>
              </w:rPr>
              <w:t xml:space="preserve">#A97C2F</w:t>
            </w:r>
          </w:p>
        </w:tc>
        <w:tc>
          <w:tcPr>
            <w:tcW w:type="dxa" w:w="606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val="false"/>
                <w:bCs w:val="false"/>
                <w:i w:val="false"/>
                <w:iCs w:val="false"/>
                <w:color w:val="222222"/>
                <w:sz w:val="20"/>
                <w:szCs w:val="20"/>
              </w:rPr>
              <w:t xml:space="preserve">A new gold, related in spirit to the locked amber but a distinct hex — see Token Lock note above</w:t>
            </w:r>
          </w:p>
        </w:tc>
      </w:tr>
      <w:tr>
        <w:tc>
          <w:tcPr>
            <w:tcW w:type="dxa" w:w="180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bCs/>
                <w:i w:val="false"/>
                <w:iCs w:val="false"/>
                <w:color w:val="1B4F8A"/>
                <w:sz w:val="20"/>
                <w:szCs w:val="20"/>
              </w:rPr>
              <w:t xml:space="preserve">Exception</w:t>
            </w:r>
          </w:p>
        </w:tc>
        <w:tc>
          <w:tcPr>
            <w:tcW w:type="dxa" w:w="150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Consolas" w:cs="Consolas" w:eastAsia="Consolas" w:hAnsi="Consolas"/>
                <w:b w:val="false"/>
                <w:bCs w:val="false"/>
                <w:i w:val="false"/>
                <w:iCs w:val="false"/>
                <w:color w:val="222222"/>
                <w:sz w:val="20"/>
                <w:szCs w:val="20"/>
              </w:rPr>
              <w:t xml:space="preserve">#B23B3B</w:t>
            </w:r>
          </w:p>
        </w:tc>
        <w:tc>
          <w:tcPr>
            <w:tcW w:type="dxa" w:w="6060"/>
            <w:tcBorders>
              <w:top w:val="single" w:color="DDE3EE" w:sz="2"/>
              <w:left w:val="single" w:color="DDE3EE" w:sz="2"/>
              <w:bottom w:val="single" w:color="DDE3EE" w:sz="2"/>
              <w:right w:val="single" w:color="DDE3EE" w:sz="2"/>
            </w:tcBorders>
            <w:tcMar>
              <w:top w:type="dxa" w:w="100"/>
              <w:left w:type="dxa" w:w="120"/>
              <w:bottom w:type="dxa" w:w="100"/>
              <w:right w:type="dxa" w:w="120"/>
            </w:tcMar>
            <w:vAlign w:val="top"/>
          </w:tcPr>
          <w:p>
            <w:pPr>
              <w:jc w:val="left"/>
            </w:pPr>
            <w:r>
              <w:rPr>
                <w:rFonts w:ascii="Segoe UI" w:cs="Segoe UI" w:eastAsia="Segoe UI" w:hAnsi="Segoe UI"/>
                <w:b w:val="false"/>
                <w:bCs w:val="false"/>
                <w:i w:val="false"/>
                <w:iCs w:val="false"/>
                <w:color w:val="222222"/>
                <w:sz w:val="20"/>
                <w:szCs w:val="20"/>
              </w:rPr>
              <w:t xml:space="preserve">Muted brick red, softened from the current alarm-red</w:t>
            </w:r>
          </w:p>
        </w:tc>
      </w:tr>
    </w:tbl>
    <w:p>
      <w:pPr>
        <w:spacing w:after="100"/>
      </w:pPr>
    </w:p>
    <w:p>
      <w:pPr>
        <w:spacing w:after="120" w:before="320"/>
      </w:pPr>
      <w:r>
        <w:rPr>
          <w:rFonts w:ascii="Georgia" w:cs="Georgia" w:eastAsia="Georgia" w:hAnsi="Georgia"/>
          <w:b/>
          <w:bCs/>
          <w:color w:val="0D2D4F"/>
          <w:sz w:val="26"/>
          <w:szCs w:val="26"/>
        </w:rPr>
        <w:t xml:space="preserve">Build Note</w:t>
      </w:r>
    </w:p>
    <w:p>
      <w:pPr>
        <w:spacing w:after="160"/>
      </w:pPr>
      <w:r>
        <w:rPr>
          <w:rFonts w:ascii="Segoe UI" w:cs="Segoe UI" w:eastAsia="Segoe UI" w:hAnsi="Segoe UI"/>
          <w:color w:val="444444"/>
          <w:sz w:val="21"/>
          <w:szCs w:val="21"/>
        </w:rPr>
        <w:t xml:space="preserve">This is a convention repeated in several places, not one component: the Maturity Table’s pattern-mix bars, the RACI Table’s pattern column, L4 badges, the legend, the AI Capability Map cards, Value Stream Profile pages, and the docx/PDF print pipeline all currently draw from the same PATTERN_META/PATTERN_HEX constants. A single source-of-truth update there propagates everywhere — but the print docs (docx-js) build their own color logic separately and would need their own pass. Recommend rolling out to the live dashboard first, then porting to the print generators once confirmed.</w:t>
      </w:r>
    </w:p>
    <w:p>
      <w:pPr>
        <w:pBdr>
          <w:top w:val="single" w:color="DDE3EE" w:sz="4"/>
        </w:pBdr>
        <w:spacing w:before="400"/>
      </w:pPr>
    </w:p>
    <w:p>
      <w:pPr>
        <w:spacing w:before="200"/>
        <w:jc w:val="center"/>
      </w:pPr>
      <w:r>
        <w:rPr>
          <w:rFonts w:ascii="Segoe UI" w:cs="Segoe UI" w:eastAsia="Segoe UI" w:hAnsi="Segoe UI"/>
          <w:color w:val="888888"/>
          <w:sz w:val="18"/>
          <w:szCs w:val="18"/>
        </w:rPr>
        <w:t xml:space="preserve">Tim King &amp; Claude  |  Concept — For Review  |  September 2026</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2026-09-08T13:40:18.408Z</dcterms:created>
  <dcterms:modified xsi:type="dcterms:W3CDTF">2026-09-08T13:40:18.408Z</dcterms:modified>
</cp:coreProperties>
</file>

<file path=docProps/custom.xml><?xml version="1.0" encoding="utf-8"?>
<Properties xmlns="http://schemas.openxmlformats.org/officeDocument/2006/custom-properties" xmlns:vt="http://schemas.openxmlformats.org/officeDocument/2006/docPropsVTypes"/>
</file>