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Data-to-Insight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8.4 — Information &amp; analytics strategy, architecture &amp; lifecycle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one APQC PCF process group: 8.4 Manage Information — spanning 4 Level 3 processes and 14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6 Transaction activities (rules-based processing suited to automation), 5 Knowledge activities (judgment, synthesis, and interpretation-driven work), 2 Decision activities (judgment-and-authority gates that stay human by design), and 1 Document activity (content generation). No Exception-pattern activity exists within this value stream.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50%, down from a 73% undesigned baseline — a 23-point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14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73%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50%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-23%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Information management cost ratio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% of IT operating costs (excl. depreciation/amortization) dedicated to Manage Enterprise Information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Data Quality Score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Data assets passing defined quality-dimension checks (accuracy, completeness, consistency, timeliness, validity, uniqueness) ÷ total assets assessed, by domain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DAMA-DMBOK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Data stewardship coverage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Critical data assets with a documented, assigned owner or steward ÷ total critical data assets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DAMA-DMBOK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Data-to-Insight follows the same apex pattern as IT Vision-to-Strategy and Risk-to-Resilience: 8.4.1 (Define business information and analytics strategy) is Chief Data Officer's own strategy-formation L3, while Director of Data &amp; Analytics holds Accountable for the remaining 3 L3s — information architecture (8.4.2), lifecycle planning and control (8.4.3), and ongoing information management (8.4.4). Data Engineer carries Responsible across all 4 L3s without ever holding Accountable, the cleanest single-role execution lane of any PCF 8.0 value stream. This is also the only value stream where Enterprise Architect appears solely as Consulted rather than Accountable anywhere — information architecture here is Director of Data &amp; Analytics' domain, with Enterprise Architect's involvement scoped to alignment with the broader enterprise architecture rather than ownership. Its steepest AI-absorption opportunity sits in 8.4.3.1 (Define and maintain enterprise information policies, standards, and procedures, Document-pattern, -32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2 L4 activities</w:t>
            </w:r>
          </w:p>
          <w:p>
            <w:pPr>
              <w:spacing w:before="40"/>
            </w:pPr>
            <w:r>
              <w:rPr>
                <w:color w:val="1B4F8A"/>
                <w:sz w:val="12"/>
                <w:szCs w:val="12"/>
              </w:rPr>
              <w:t xml:space="preserve">M1 92%  →  M3 80%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5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6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991B1B"/>
                <w:sz w:val="11"/>
                <w:szCs w:val="11"/>
              </w:rPr>
              <w:t xml:space="preserve">No activities of this pattern in this value stream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Chief Data Officer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2"/>
                <w:szCs w:val="12"/>
              </w:rPr>
              <w:t xml:space="preserve">Executive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8.4.1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Director of Data &amp; Analytics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8.4.2, 8.4.3, 8.4.4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11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The stream opens with Chief Data Officer-accountable strategy formation (8.4.1), then hands to Director of Data &amp; Analytics for the remaining three L3s: information architecture (8.4.2), lifecycle planning and control (8.4.3), and ongoing information management (8.4.4).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Data Engineer carries Responsible across all four L3s, the cleanest single-execution-role lane in PCF 8.0 — the handoff from Director of Data &amp; Analytics to Data Engineer is consistent throughout rather than shifting by L3.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8.4.1.1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Establish data, information, and analytic objectives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Chief Data Officer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Strategic — sets direction for the domain's information/analytics agenda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CEO / Board (outside the IT role catalog)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Objectives require enterprise-level budget commitment or conflict with board-approved data strategy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8.4.2.4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Establish data ownership and stewardship responsibilities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Director of Data &amp; Analytics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Operational + Governance — assigns accountability for data domains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Chief Data Officer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Ownership assignment spans multiple business units or is contested between data domains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&amp; Claude (Anthropic) 2026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8.4 — Data-to-Insight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2026-08-09T12:47:32.887Z</dcterms:created>
  <dcterms:modified xsi:type="dcterms:W3CDTF">2026-08-09T12:47:32.887Z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