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IT Vision-to-Strategy</w:t>
      </w:r>
    </w:p>
    <w:p>
      <w:pPr>
        <w:spacing w:after="200"/>
      </w:pPr>
      <w:r>
        <w:rPr>
          <w:i/>
          <w:iCs/>
          <w:color w:val="888888"/>
          <w:sz w:val="17"/>
          <w:szCs w:val="17"/>
        </w:rPr>
        <w:t xml:space="preserve">PCF 8.2 — Set IT &amp; architecture direction — Value Stream Profile</w:t>
      </w:r>
    </w:p>
    <w:p>
      <w:pPr>
        <w:spacing w:after="120"/>
      </w:pPr>
      <w:r>
        <w:rPr>
          <w:color w:val="444444"/>
          <w:sz w:val="18"/>
          <w:szCs w:val="18"/>
        </w:rPr>
        <w:t xml:space="preserve">This value stream comprises one APQC PCF process group: 8.2 Develop and Manage IT Business Strategy — spanning 7 Level 3 processes and 43 Level 4 activities.</w:t>
      </w:r>
    </w:p>
    <w:p>
      <w:pPr>
        <w:spacing w:after="120"/>
      </w:pPr>
      <w:r>
        <w:rPr>
          <w:color w:val="444444"/>
          <w:sz w:val="18"/>
          <w:szCs w:val="18"/>
        </w:rPr>
        <w:t xml:space="preserve">At the activity level, this value stream's work breaks down as 30 Knowledge activities (judgment, synthesis, and interpretation-driven work), 7 Transaction activities (rules-based processing suited to automation), 4 Document activities (content generation), and 2 Decision activities (judgment-and-authority gates that stay human by design). No Exception-pattern activity exists within this value stream.</w:t>
      </w:r>
    </w:p>
    <w:p>
      <w:pPr>
        <w:spacing w:after="200"/>
      </w:pPr>
      <w:r>
        <w:rPr>
          <w:color w:val="444444"/>
          <w:sz w:val="18"/>
          <w:szCs w:val="18"/>
        </w:rPr>
        <w:t xml:space="preserve">At M3 (HITL Design Intent), the value stream's aggregate human-involvement ratio is 59%, down from an 81% undesigned baseline — a 22-point AI convergence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7</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43</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81%</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59%</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-22%</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IT strategy cost ratio</w:t>
            </w:r>
          </w:p>
          <w:p>
            <w:r>
              <w:rPr>
                <w:i/>
                <w:iCs/>
                <w:color w:val="888888"/>
                <w:sz w:val="13"/>
                <w:szCs w:val="13"/>
              </w:rPr>
              <w:t xml:space="preserve">% of IT operating costs (excl. depreciation/amortization) dedicated to Develop and Manage IT Business Strategy</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IT-business alignment</w:t>
            </w:r>
          </w:p>
          <w:p>
            <w:r>
              <w:rPr>
                <w:i/>
                <w:iCs/>
                <w:color w:val="888888"/>
                <w:sz w:val="13"/>
                <w:szCs w:val="13"/>
              </w:rPr>
              <w:t xml:space="preserve">% of IT projects/initiatives formally validated against approved business technology strategy</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COBIT</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Portfolio investment balance</w:t>
            </w:r>
          </w:p>
          <w:p>
            <w:r>
              <w:rPr>
                <w:i/>
                <w:iCs/>
                <w:color w:val="888888"/>
                <w:sz w:val="13"/>
                <w:szCs w:val="13"/>
              </w:rPr>
              <w:t xml:space="preserve">% of total IT spend classified as Grow/Transform vs. Run, tracked at each portfolio review</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Gartner</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Architecture Compliance Rate</w:t>
            </w:r>
          </w:p>
          <w:p>
            <w:r>
              <w:rPr>
                <w:i/>
                <w:iCs/>
                <w:color w:val="888888"/>
                <w:sz w:val="13"/>
                <w:szCs w:val="13"/>
              </w:rPr>
              <w:t xml:space="preserve">IT initiatives passing Architecture Compliance review (first submission or approved waiver) ÷ total initiatives reviewed</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TOGAF</w:t>
            </w:r>
          </w:p>
        </w:tc>
      </w:tr>
    </w:tbl>
    <w:p>
      <w:pPr>
        <w:spacing w:after="40" w:before="260"/>
      </w:pPr>
      <w:r>
        <w:rPr>
          <w:b/>
          <w:bCs/>
          <w:color w:val="0D2D4F"/>
          <w:sz w:val="19"/>
          <w:szCs w:val="19"/>
        </w:rPr>
        <w:t xml:space="preserve">Design Narrative</w:t>
      </w:r>
    </w:p>
    <w:p>
      <w:pPr>
        <w:spacing w:after="160"/>
      </w:pPr>
      <w:r>
        <w:rPr>
          <w:color w:val="444444"/>
          <w:sz w:val="18"/>
          <w:szCs w:val="18"/>
        </w:rPr>
        <w:t xml:space="preserve">IT Vision-to-Strategy is one of three Executive-Accountable apex streams in PCF 8.0 rather than the domain's only one — 8.2.1 (Define business technology and governance strategy) is CIO's own strategy-formation L3, distinct from CISO's security-strategy apex (Risk-to-Resilience, 8.3.1) and CDO's data-strategy apex (Data-to-Insight, 8.4.1), since IT's taxonomy gives each Executive role its own explicit governance mandate rather than concentrating all domain strategy under one CHRO-equivalent as HR does. IT Director then holds Accountable for the stream's cross-cutting management activities — portfolio strategy (8.2.2), IT management-system control (8.2.5), and value-portfolio management (8.2.6) — while Enterprise Architect owns the two most technically specialized L3s, enterprise architecture itself (8.2.3) and technology innovation (8.2.7). IT Service Manager's single L3 (8.2.4, ITSM strategy) is the stream's one specialist-owned exception to the IT Director/Enterprise Architect split. Its steepest AI-absorption opportunity sits in 8.2.1.5 (Articulate IT alignment principles, Document-pattern, -32 points).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2 L4 activities</w:t>
            </w:r>
          </w:p>
          <w:p>
            <w:pPr>
              <w:spacing w:before="40"/>
            </w:pPr>
            <w:r>
              <w:rPr>
                <w:color w:val="1B4F8A"/>
                <w:sz w:val="12"/>
                <w:szCs w:val="12"/>
              </w:rPr>
              <w:t xml:space="preserve">M1 92%  →  M3 80%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30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4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7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0 L4 activities</w:t>
            </w:r>
          </w:p>
          <w:p>
            <w:pPr>
              <w:spacing w:before="40"/>
            </w:pPr>
            <w:r>
              <w:rPr>
                <w:i/>
                <w:iCs/>
                <w:color w:val="991B1B"/>
                <w:sz w:val="11"/>
                <w:szCs w:val="11"/>
              </w:rPr>
              <w:t xml:space="preserve">No activities of this pattern in this value stream</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CIO</w:t>
            </w:r>
          </w:p>
        </w:tc>
        <w:tc>
          <w:tcPr>
            <w:tcW w:type="pct" w:w="15.94%"/>
            <w:tcBorders>
              <w:top w:val="single" w:color="7AAED6" w:sz="2"/>
              <w:left w:val="single" w:color="7AAED6" w:sz="2"/>
              <w:bottom w:val="single" w:color="7AAED6" w:sz="2"/>
              <w:right w:val="single" w:color="7AAED6" w:sz="2"/>
            </w:tcBorders>
            <w:shd w:fill="FEE2E2" w:val="clear"/>
            <w:tcMar>
              <w:top w:type="dxa" w:w="80"/>
              <w:left w:type="dxa" w:w="100"/>
              <w:bottom w:type="dxa" w:w="80"/>
              <w:right w:type="dxa" w:w="100"/>
            </w:tcMar>
            <w:vAlign w:val="top"/>
          </w:tcPr>
          <w:p>
            <w:pPr>
              <w:jc w:val="center"/>
            </w:pPr>
            <w:r>
              <w:rPr>
                <w:b/>
                <w:bCs/>
                <w:color w:val="991B1B"/>
                <w:sz w:val="12"/>
                <w:szCs w:val="12"/>
              </w:rPr>
              <w:t xml:space="preserve">Executive</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8.2.1</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6</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IT Director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8.2.2, 8.2.5, 8.2.6</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19</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Enterprise Architect</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8.2.3, 8.2.7</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11</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IT Service Manager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8.2.4</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7</w:t>
            </w:r>
          </w:p>
        </w:tc>
      </w:tr>
    </w:tbl>
    <w:p>
      <w:pPr>
        <w:spacing w:after="40" w:before="260"/>
      </w:pPr>
      <w:r>
        <w:rPr>
          <w:b/>
          <w:bCs/>
          <w:color w:val="0D2D4F"/>
          <w:sz w:val="19"/>
          <w:szCs w:val="19"/>
        </w:rPr>
        <w:t xml:space="preserve">Handoff Points</w:t>
      </w:r>
    </w:p>
    <w:p>
      <w:pPr>
        <w:spacing w:after="120"/>
      </w:pPr>
      <w:r>
        <w:rPr>
          <w:color w:val="444444"/>
          <w:sz w:val="18"/>
          <w:szCs w:val="18"/>
        </w:rPr>
        <w:t xml:space="preserve">IT Vision-to-Strategy opens with CIO-accountable strategy formation (8.2.1), then hands to IT Director for portfolio strategy, management-system control, and value-portfolio management (8.2.2, 8.2.5, 8.2.6) — the stream's cross-cutting governance layer.</w:t>
      </w:r>
    </w:p>
    <w:p>
      <w:pPr>
        <w:spacing w:after="120"/>
      </w:pPr>
      <w:r>
        <w:rPr>
          <w:color w:val="444444"/>
          <w:sz w:val="18"/>
          <w:szCs w:val="18"/>
        </w:rPr>
        <w:t xml:space="preserve">Enterprise Architect picks up the stream's most technically specialized work: enterprise architecture definition (8.2.3) and technology innovation (8.2.7), both requiring deep technical judgment distinct from IT Director's portfolio-management lane.</w:t>
      </w:r>
    </w:p>
    <w:p>
      <w:pPr>
        <w:spacing w:after="160"/>
      </w:pPr>
      <w:r>
        <w:rPr>
          <w:color w:val="444444"/>
          <w:sz w:val="18"/>
          <w:szCs w:val="18"/>
        </w:rPr>
        <w:t xml:space="preserve">IT Service Manager holds a single adjacent step — ITSM strategy definition (8.2.4) — closing the stream before its outputs (approved technology strategy, portfolio priorities, architecture standards) hand off to every operational stream in the domain.</w:t>
      </w:r>
    </w:p>
    <w:p>
      <w:pPr>
        <w:spacing w:after="40" w:before="260"/>
      </w:pPr>
      <w:r>
        <w:rPr>
          <w:b/>
          <w:bCs/>
          <w:color w:val="0D2D4F"/>
          <w:sz w:val="19"/>
          <w:szCs w:val="19"/>
        </w:rPr>
        <w:t xml:space="preserve">Governed Decision Points</w:t>
      </w:r>
    </w:p>
    <w:p>
      <w:pPr>
        <w:spacing w:after="100"/>
      </w:pPr>
      <w:r>
        <w:rPr>
          <w:color w:val="888888"/>
          <w:sz w:val="14"/>
          <w:szCs w:val="14"/>
        </w:rPr>
        <w:t xml:space="preserve">Every Decision/Exception-pattern activity in the value stream, including those embedded inside Mixed-labeled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400"/>
        <w:gridCol w:w="1900"/>
        <w:gridCol w:w="1460"/>
        <w:gridCol w:w="2600"/>
      </w:tblGrid>
      <w:tr>
        <w:trPr>
          <w:tblHeader/>
        </w:trPr>
        <w:tc>
          <w:tcPr>
            <w:tcW w:type="pct" w:w="7.7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Decision</w:t>
            </w:r>
          </w:p>
        </w:tc>
        <w:tc>
          <w:tcPr>
            <w:tcW w:type="pct" w:w="13.94%"/>
            <w:shd w:fill="1B4F8A" w:val="clear"/>
            <w:tcMar>
              <w:top w:type="dxa" w:w="60"/>
              <w:left w:type="dxa" w:w="140"/>
              <w:bottom w:type="dxa" w:w="60"/>
              <w:right w:type="dxa" w:w="60"/>
            </w:tcMar>
            <w:vAlign w:val="bottom"/>
          </w:tcPr>
          <w:p>
            <w:pPr>
              <w:jc w:val="left"/>
            </w:pPr>
            <w:r>
              <w:rPr>
                <w:b/>
                <w:bCs/>
                <w:color w:val="FFFFFF"/>
                <w:sz w:val="11"/>
                <w:szCs w:val="11"/>
              </w:rPr>
              <w:t xml:space="preserve">Authority</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Impact</w:t>
            </w:r>
          </w:p>
        </w:tc>
        <w:tc>
          <w:tcPr>
            <w:tcW w:type="pct" w:w="14.54%"/>
            <w:shd w:fill="1B4F8A" w:val="clear"/>
            <w:tcMar>
              <w:top w:type="dxa" w:w="60"/>
              <w:left w:type="dxa" w:w="140"/>
              <w:bottom w:type="dxa" w:w="60"/>
              <w:right w:type="dxa" w:w="60"/>
            </w:tcMar>
            <w:vAlign w:val="bottom"/>
          </w:tcPr>
          <w:p>
            <w:pPr>
              <w:jc w:val="left"/>
            </w:pPr>
            <w:r>
              <w:rPr>
                <w:b/>
                <w:bCs/>
                <w:color w:val="FFFFFF"/>
                <w:sz w:val="11"/>
                <w:szCs w:val="11"/>
              </w:rPr>
              <w:t xml:space="preserve">Escalates To</w:t>
            </w:r>
          </w:p>
        </w:tc>
        <w:tc>
          <w:tcPr>
            <w:tcW w:type="pct" w:w="25.9%"/>
            <w:shd w:fill="1B4F8A" w:val="clear"/>
            <w:tcMar>
              <w:top w:type="dxa" w:w="60"/>
              <w:left w:type="dxa" w:w="140"/>
              <w:bottom w:type="dxa" w:w="60"/>
              <w:right w:type="dxa" w:w="60"/>
            </w:tcMar>
            <w:vAlign w:val="bottom"/>
          </w:tcPr>
          <w:p>
            <w:pPr>
              <w:jc w:val="left"/>
            </w:pPr>
            <w:r>
              <w:rPr>
                <w:b/>
                <w:bCs/>
                <w:color w:val="FFFFFF"/>
                <w:sz w:val="11"/>
                <w:szCs w:val="11"/>
              </w:rPr>
              <w:t xml:space="preserve">Trigger</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8.2.2.4</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Prioritize IT projects</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IT Director</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Financial + Strategic — shapes IT investment allocation</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CIO (Executive)</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Project competes for constrained budget/resources across multiple business units or exceeds standard portfolio threshold</w:t>
            </w:r>
          </w:p>
        </w:tc>
      </w:tr>
      <w:tr>
        <w:tc>
          <w:tcPr>
            <w:tcW w:type="pct" w:w="7.77%"/>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000000"/>
                <w:sz w:val="13"/>
                <w:szCs w:val="13"/>
              </w:rPr>
              <w:t xml:space="preserve">8.2.6.4</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Determine and implement IT portfolio adjustments</w:t>
            </w:r>
          </w:p>
        </w:tc>
        <w:tc>
          <w:tcPr>
            <w:tcW w:type="pct" w:w="13.9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IT Director</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Financial — reallocation of committed IT investment</w:t>
            </w:r>
          </w:p>
        </w:tc>
        <w:tc>
          <w:tcPr>
            <w:tcW w:type="pct" w:w="14.5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CIO (Executive)</w:t>
            </w:r>
          </w:p>
        </w:tc>
        <w:tc>
          <w:tcPr>
            <w:tcW w:type="pct" w:w="25.9%"/>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Adjustment requires reallocating previously approved budget or discontinuing a committed initiative</w:t>
            </w:r>
          </w:p>
        </w:tc>
      </w:tr>
    </w:tbl>
    <w:p>
      <w:pPr>
        <w:spacing w:before="260"/>
      </w:pPr>
      <w:r>
        <w:rPr>
          <w:i/>
          <w:iCs/>
          <w:color w:val="888888"/>
          <w:sz w:val="13"/>
          <w:szCs w:val="13"/>
        </w:rPr>
        <w:t xml:space="preserve">©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8.2 — IT Vision-to-Strategy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2026-08-09T12:47:31.802Z</dcterms:created>
  <dcterms:modified xsi:type="dcterms:W3CDTF">2026-08-09T12:47:31.815Z</dcterms:modified>
</cp:coreProperties>
</file>

<file path=docProps/custom.xml><?xml version="1.0" encoding="utf-8"?>
<Properties xmlns="http://schemas.openxmlformats.org/officeDocument/2006/custom-properties" xmlns:vt="http://schemas.openxmlformats.org/officeDocument/2006/docPropsVTypes"/>
</file>