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Move-to-Exit</w:t>
      </w:r>
    </w:p>
    <w:p>
      <w:pPr>
        <w:spacing w:after="200"/>
      </w:pPr>
      <w:r>
        <w:rPr>
          <w:i/>
          <w:iCs/>
          <w:color w:val="888888"/>
          <w:sz w:val="17"/>
          <w:szCs w:val="17"/>
        </w:rPr>
        <w:t xml:space="preserve">PCF 7.6 — Transition Talent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3</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6</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4</w:t>
            </w:r>
          </w:p>
        </w:tc>
      </w:tr>
    </w:tbl>
    <w:p>
      <w:pPr>
        <w:spacing w:after="160" w:before="200"/>
      </w:pPr>
      <w:r>
        <w:rPr>
          <w:color w:val="444444"/>
          <w:sz w:val="18"/>
          <w:szCs w:val="18"/>
        </w:rPr>
        <w:t xml:space="preserve">This document reports confirmed R/A/C/I role accountability for the Move-to-Exit value stream (PCF 7.6)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7.6  </w:t>
            </w:r>
            <w:r>
              <w:rPr>
                <w:b/>
                <w:bCs/>
                <w:color w:val="0D2D4F"/>
                <w:sz w:val="14"/>
                <w:szCs w:val="14"/>
              </w:rPr>
              <w:t xml:space="preserve">Redeploy and Retire Employees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7.6.1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promotion and demotion process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7B9FD1"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HRBP Manager</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Compensation &amp; Benefits Manager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7.6.2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separation</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75%"/>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Compensation &amp; Benefits Manager</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Legal*</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7.6.2.1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retirement</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Compensation &amp; Benefits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Legal*</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7.6.2.2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leave of absence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Compensation &amp; Benefits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Legal*</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7.6.2.3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offboarding</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Compensation &amp; Benefits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Legal*</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7.6.2.4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and implement employee outplacement</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 Generalist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Compensation &amp; Benefits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Legal*</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7.6.3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Relocate employees and manage assignments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logistics</w:t>
            </w:r>
          </w:p>
        </w:tc>
        <w:tc>
          <w:tcPr>
            <w:tcW w:type="pct" w:w="14.44%"/>
            <w:tcBorders>
              <w:top w:val="single" w:color="7AAED6" w:sz="2"/>
              <w:left w:val="single" w:color="7AAED6" w:sz="2"/>
              <w:bottom w:val="single" w:color="7AAED6" w:sz="2"/>
              <w:right w:val="single" w:color="7AAED6" w:sz="2"/>
            </w:tcBorders>
            <w:shd w:fill="F5F5F5" w:val="clear"/>
          </w:tcPr>
          <w:p>
            <w:pPr>
              <w:spacing w:after="10"/>
            </w:pPr>
            <w:r>
              <w:rPr>
                <w:i w:val="false"/>
                <w:iCs w:val="false"/>
                <w:color w:val="444444"/>
                <w:sz w:val="14"/>
                <w:szCs w:val="14"/>
              </w:rPr>
              <w:t xml:space="preserve">HRBP Manager</w:t>
            </w:r>
          </w:p>
          <w:p>
            <w:pPr>
              <w:spacing w:after="30"/>
            </w:pPr>
            <w:r>
              <w:rPr>
                <w:i/>
                <w:iCs/>
                <w:color w:val="888888"/>
                <w:sz w:val="12"/>
                <w:szCs w:val="12"/>
              </w:rPr>
              <w:t xml:space="preserve">partial—see gap note</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7.6.3.1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expatriates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logistics</w:t>
            </w:r>
          </w:p>
        </w:tc>
        <w:tc>
          <w:tcPr>
            <w:tcW w:type="pct" w:w="14.44%"/>
            <w:tcBorders>
              <w:top w:val="single" w:color="7AAED6" w:sz="2"/>
              <w:left w:val="single" w:color="7AAED6" w:sz="2"/>
              <w:bottom w:val="single" w:color="7AAED6" w:sz="2"/>
              <w:right w:val="single" w:color="7AAED6" w:sz="2"/>
            </w:tcBorders>
            <w:shd w:fill="F5F5F5" w:val="clear"/>
          </w:tcPr>
          <w:p>
            <w:pPr>
              <w:spacing w:after="10"/>
            </w:pPr>
            <w:r>
              <w:rPr>
                <w:i w:val="false"/>
                <w:iCs w:val="false"/>
                <w:color w:val="444444"/>
                <w:sz w:val="14"/>
                <w:szCs w:val="14"/>
              </w:rPr>
              <w:t xml:space="preserve">HRBP Manager</w:t>
            </w:r>
          </w:p>
          <w:p>
            <w:pPr>
              <w:spacing w:after="30"/>
            </w:pPr>
            <w:r>
              <w:rPr>
                <w:i/>
                <w:iCs/>
                <w:color w:val="888888"/>
                <w:sz w:val="12"/>
                <w:szCs w:val="12"/>
              </w:rPr>
              <w:t xml:space="preserve">partial—see gap note</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3 confirmed L3 assignments in this value stream · ©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7.6 — Move-to-Exit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2026-08-09T12:34:10.393Z</dcterms:created>
  <dcterms:modified xsi:type="dcterms:W3CDTF">2026-08-09T12:34:10.393Z</dcterms:modified>
</cp:coreProperties>
</file>

<file path=docProps/custom.xml><?xml version="1.0" encoding="utf-8"?>
<Properties xmlns="http://schemas.openxmlformats.org/officeDocument/2006/custom-properties" xmlns:vt="http://schemas.openxmlformats.org/officeDocument/2006/docPropsVTypes"/>
</file>