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Enable &amp; Govern</w:t>
      </w:r>
    </w:p>
    <w:p>
      <w:pPr>
        <w:spacing w:after="200"/>
      </w:pPr>
      <w:r>
        <w:rPr>
          <w:i/>
          <w:iCs/>
          <w:color w:val="888888"/>
          <w:sz w:val="17"/>
          <w:szCs w:val="17"/>
        </w:rPr>
        <w:t xml:space="preserve">PCF 7.4, 7.7–7.8 — Cross-cutting — compliance, data, communication — Value Stream Profile</w:t>
      </w:r>
    </w:p>
    <w:p>
      <w:pPr>
        <w:spacing w:after="120"/>
      </w:pPr>
      <w:r>
        <w:rPr>
          <w:color w:val="444444"/>
          <w:sz w:val="18"/>
          <w:szCs w:val="18"/>
        </w:rPr>
        <w:t xml:space="preserve">This value stream spans 3 APQC PCF process groups: 7.4 Manage Employee Relations, 7.7 Manage Employee Information, and 7.8 Manage Employee Communication — together comprising 16 Level 3 processes and 22 Level 4 activities.</w:t>
      </w:r>
    </w:p>
    <w:p>
      <w:pPr>
        <w:spacing w:after="120"/>
      </w:pPr>
      <w:r>
        <w:rPr>
          <w:color w:val="444444"/>
          <w:sz w:val="18"/>
          <w:szCs w:val="18"/>
        </w:rPr>
        <w:t xml:space="preserve">At the activity level, this value stream's work breaks down as 8 Knowledge activities (judgment, synthesis, and interpretation-driven work), 5 Transaction activities (rules-based processing suited to automation), 4 Document activities (content generation), 3 Decision activities (judgment-and-authority gates that stay human by design), and 2 Exception activities (non-standard cases requiring human resolution).</w:t>
      </w:r>
    </w:p>
    <w:p>
      <w:pPr>
        <w:spacing w:after="200"/>
      </w:pPr>
      <w:r>
        <w:rPr>
          <w:color w:val="444444"/>
          <w:sz w:val="18"/>
          <w:szCs w:val="18"/>
        </w:rPr>
        <w:t xml:space="preserve">At M3 (HITL Design Intent), the value stream's aggregate human-involvement ratio is 57%, down from a 79%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16</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22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HR cost-to-serve</w:t>
            </w:r>
          </w:p>
          <w:p>
            <w:r>
              <w:rPr>
                <w:i/>
                <w:iCs/>
                <w:color w:val="888888"/>
                <w:sz w:val="13"/>
                <w:szCs w:val="13"/>
              </w:rPr>
              <w:t xml:space="preserve">4 variants: personnel cost as % of total HR cost; personnel cost per HR-function FTE; personnel cost per business-entity FTE; overhead cost per business-entity employee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ER case cycle time</w:t>
            </w:r>
          </w:p>
          <w:p>
            <w:r>
              <w:rPr>
                <w:i/>
                <w:iCs/>
                <w:color w:val="888888"/>
                <w:sz w:val="13"/>
                <w:szCs w:val="13"/>
              </w:rPr>
              <w:t xml:space="preserve">Time from grievance/complaint intake to case resolution, per case, averaged per period</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Compliance incident rate</w:t>
            </w:r>
          </w:p>
          <w:p>
            <w:r>
              <w:rPr>
                <w:i/>
                <w:iCs/>
                <w:color w:val="888888"/>
                <w:sz w:val="13"/>
                <w:szCs w:val="13"/>
              </w:rPr>
              <w:t xml:space="preserve">Confirmed compliance incidents ÷ total headcount, per period</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Data quality / audit findings</w:t>
            </w:r>
          </w:p>
          <w:p>
            <w:r>
              <w:rPr>
                <w:i/>
                <w:iCs/>
                <w:color w:val="888888"/>
                <w:sz w:val="13"/>
                <w:szCs w:val="13"/>
              </w:rPr>
              <w:t xml:space="preserve">Data-quality audit findings requiring remediation ÷ total audit checks performed, per audit cycle</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bl>
    <w:p>
      <w:pPr>
        <w:spacing w:after="40" w:before="260"/>
      </w:pPr>
      <w:r>
        <w:rPr>
          <w:b/>
          <w:bCs/>
          <w:color w:val="0D2D4F"/>
          <w:sz w:val="19"/>
          <w:szCs w:val="19"/>
        </w:rPr>
        <w:t xml:space="preserve">Design Narrative</w:t>
      </w:r>
    </w:p>
    <w:p>
      <w:pPr>
        <w:spacing w:after="160"/>
      </w:pPr>
      <w:r>
        <w:rPr>
          <w:color w:val="444444"/>
          <w:sz w:val="18"/>
          <w:szCs w:val="18"/>
        </w:rPr>
        <w:t xml:space="preserve">Enable &amp; Govern is the first value stream spanning multiple PCF L2 groups rather than one, and its accountability pattern reflects that structure: three distinct role clusters emerge along the underlying group boundaries instead of a single dominant owner — HR Business Partner Manager holds the case-based, relationship-driven work (7.4.1–7.4.4, 7.8.1, 7.8.3), HRIS Analyst holds systems and data infrastructure (the majority of 7.7), and Director of HR Operations sits above both as the cross-domain governance layer, directly Accountable for compliance monitoring (7.4.5). This value stream also carries the framework's two Exception-pattern activities (7.4.4 grievances, 7.7.2 employee inquiries), and its steepest AI-absorption opportunities cluster in Document-pattern content — 7.7.1 reporting, 7.8.2 survey administration, and 7.8.3 communication delivery all sit at -32 points. 7.8.2 carries forward its Reward-to-Retain assignment unchanged, since APQC names the same underlying activity separately under two different L2 groups.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3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8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5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2 L4 activities</w:t>
            </w:r>
          </w:p>
          <w:p>
            <w:pPr>
              <w:spacing w:before="40"/>
            </w:pPr>
            <w:r>
              <w:rPr>
                <w:color w:val="991B1B"/>
                <w:sz w:val="12"/>
                <w:szCs w:val="12"/>
              </w:rPr>
              <w:t xml:space="preserve">M1 95%  →  M3 82%</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HRBP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7.4.1, 7.4.2, 7.4.3, 7.4.4, 7.8.1, 7.8.3</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6</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HR Ops</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7.4.5</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1</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HRIS Analyst</w:t>
            </w:r>
          </w:p>
        </w:tc>
        <w:tc>
          <w:tcPr>
            <w:tcW w:type="pct" w:w="15.94%"/>
            <w:tcBorders>
              <w:top w:val="single" w:color="7AAED6" w:sz="2"/>
              <w:left w:val="single" w:color="7AAED6" w:sz="2"/>
              <w:bottom w:val="single" w:color="7AAED6" w:sz="2"/>
              <w:right w:val="single" w:color="7AAED6" w:sz="2"/>
            </w:tcBorders>
            <w:shd w:fill="DCFCE7" w:val="clear"/>
            <w:tcMar>
              <w:top w:type="dxa" w:w="80"/>
              <w:left w:type="dxa" w:w="100"/>
              <w:bottom w:type="dxa" w:w="80"/>
              <w:right w:type="dxa" w:w="100"/>
            </w:tcMar>
            <w:vAlign w:val="top"/>
          </w:tcPr>
          <w:p>
            <w:pPr>
              <w:jc w:val="center"/>
            </w:pPr>
            <w:r>
              <w:rPr>
                <w:b/>
                <w:bCs/>
                <w:color w:val="166534"/>
                <w:sz w:val="12"/>
                <w:szCs w:val="12"/>
              </w:rPr>
              <w:t xml:space="preserve">Operational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7.7.1, 7.7.3, 7.7.4, 7.7.5, 7.7.6, 7.7.7, 7.7.8</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HR Generalist</w:t>
            </w:r>
          </w:p>
        </w:tc>
        <w:tc>
          <w:tcPr>
            <w:tcW w:type="pct" w:w="15.94%"/>
            <w:tcBorders>
              <w:top w:val="single" w:color="7AAED6" w:sz="2"/>
              <w:left w:val="single" w:color="7AAED6" w:sz="2"/>
              <w:bottom w:val="single" w:color="7AAED6" w:sz="2"/>
              <w:right w:val="single" w:color="7AAED6" w:sz="2"/>
            </w:tcBorders>
            <w:shd w:fill="DCFCE7" w:val="clear"/>
            <w:tcMar>
              <w:top w:type="dxa" w:w="80"/>
              <w:left w:type="dxa" w:w="100"/>
              <w:bottom w:type="dxa" w:w="80"/>
              <w:right w:type="dxa" w:w="100"/>
            </w:tcMar>
            <w:vAlign w:val="top"/>
          </w:tcPr>
          <w:p>
            <w:pPr>
              <w:jc w:val="center"/>
            </w:pPr>
            <w:r>
              <w:rPr>
                <w:b/>
                <w:bCs/>
                <w:color w:val="166534"/>
                <w:sz w:val="12"/>
                <w:szCs w:val="12"/>
              </w:rPr>
              <w:t xml:space="preserve">Operational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7.7.2, 7.8.2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2</w:t>
            </w:r>
          </w:p>
        </w:tc>
      </w:tr>
    </w:tbl>
    <w:p>
      <w:pPr>
        <w:spacing w:after="40" w:before="260"/>
      </w:pPr>
      <w:r>
        <w:rPr>
          <w:b/>
          <w:bCs/>
          <w:color w:val="0D2D4F"/>
          <w:sz w:val="19"/>
          <w:szCs w:val="19"/>
        </w:rPr>
        <w:t xml:space="preserve">Handoff Points</w:t>
      </w:r>
    </w:p>
    <w:p>
      <w:pPr>
        <w:spacing w:after="120"/>
      </w:pPr>
      <w:r>
        <w:rPr>
          <w:color w:val="444444"/>
          <w:sz w:val="18"/>
          <w:szCs w:val="18"/>
        </w:rPr>
        <w:t xml:space="preserve">Enable &amp; Govern is the first value stream in this framework to span multiple PCF L2 groups rather than one, and its ownership split reflects that structure directly: HRBP Manager owns the case-based, relationship-driven work clustered in 7.4 (labor relations, bargaining, partnerships, grievances) plus the communication bookends in 7.8, while HRIS Analyst owns the systems and data infrastructure that makes up the majority of 7.7 — the largest single ownership share in the framework so far.</w:t>
      </w:r>
    </w:p>
    <w:p>
      <w:pPr>
        <w:spacing w:after="120"/>
      </w:pPr>
      <w:r>
        <w:rPr>
          <w:color w:val="444444"/>
          <w:sz w:val="18"/>
          <w:szCs w:val="18"/>
        </w:rPr>
        <w:t xml:space="preserve">Director of HR Ops holds a single step (7.4.5 Monitor Legal and Regulatory Environment) but sits above both other owners as the cross-domain governance layer — Consulted or Informed across most of the remaining steps even without direct Accountable ownership of them, reflecting the value stream's own "enable and govern" purpose.</w:t>
      </w:r>
    </w:p>
    <w:p>
      <w:pPr>
        <w:spacing w:after="160"/>
      </w:pPr>
      <w:r>
        <w:rPr>
          <w:color w:val="444444"/>
          <w:sz w:val="18"/>
          <w:szCs w:val="18"/>
        </w:rPr>
        <w:t xml:space="preserve">HR Generalist's two steps (7.7.2 Manage Employee Inquiry Process, 7.8.2 Conduct Employee Engagement Surveys) form the value stream's operational-delivery layer. 7.8.2 carries forward its Reward-to-Retain assignment unchanged, since APQC names the same underlying activity separately under two different L2 groups — the framework's first confirmed content overlap across value streams.</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7.4.4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Investigate and resolve employee complaint or grievance</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HRBP Manager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Legal + People — litigation and reputational exposure</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Director of HR Ops / Legal / CHRO (Managerial →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Case involves potential litigation, an executive-level employee, or regulatory exposure</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7.7.7.3</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Select the methodology used for workforce analytics (embedded in Manage HR Reporting &amp; Analytics)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HRIS Analyst</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Operational + Strategic — informs downstream restructuring or board reporting</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Director of HR Ops (Managerial)</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Methodology output will inform headcount, restructuring, or board-level reporting decisions</w:t>
            </w:r>
          </w:p>
        </w:tc>
      </w:tr>
    </w:tbl>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7.4, 7.7–7.8 — Enable &amp; Govern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2026-08-09T12:14:52.396Z</dcterms:created>
  <dcterms:modified xsi:type="dcterms:W3CDTF">2026-08-09T12:14:52.396Z</dcterms:modified>
</cp:coreProperties>
</file>

<file path=docProps/custom.xml><?xml version="1.0" encoding="utf-8"?>
<Properties xmlns="http://schemas.openxmlformats.org/officeDocument/2006/custom-properties" xmlns:vt="http://schemas.openxmlformats.org/officeDocument/2006/docPropsVTypes"/>
</file>