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D4F" w:val="clear"/>
            <w:tcMar>
              <w:top w:type="dxa" w:w="22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The Human-AI Partnership Framework</w:t>
            </w:r>
          </w:p>
          <w:p>
            <w:pPr>
              <w:jc w:val="center"/>
            </w:pPr>
            <w:r>
              <w:rPr>
                <w:i/>
                <w:iCs/>
                <w:color w:val="9FC2EE"/>
                <w:sz w:val="16"/>
                <w:szCs w:val="16"/>
              </w:rPr>
              <w:t xml:space="preserve">Where human judgment belongs</w:t>
            </w:r>
          </w:p>
        </w:tc>
      </w:tr>
    </w:tbl>
    <w:p>
      <w:pPr>
        <w:spacing w:after="40" w:before="220"/>
      </w:pPr>
      <w:r>
        <w:rPr>
          <w:rFonts w:ascii="Georgia" w:cs="Georgia" w:eastAsia="Georgia" w:hAnsi="Georgia"/>
          <w:b/>
          <w:bCs/>
          <w:color w:val="0D2D4F"/>
          <w:sz w:val="30"/>
          <w:szCs w:val="30"/>
        </w:rPr>
        <w:t xml:space="preserve">Move-to-Exit</w:t>
      </w:r>
    </w:p>
    <w:p>
      <w:pPr>
        <w:spacing w:after="200"/>
      </w:pPr>
      <w:r>
        <w:rPr>
          <w:i/>
          <w:iCs/>
          <w:color w:val="888888"/>
          <w:sz w:val="17"/>
          <w:szCs w:val="17"/>
        </w:rPr>
        <w:t xml:space="preserve">PCF 7.6 — Transition Talent — Value Stream Profile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This value stream comprises one APQC PCF process group: 7.6 Redeploy and Retire Employees — spanning 3 Level 3 processes and 6 Level 4 activities.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At the activity level, this value stream's work breaks down as 4 Transaction activities (rules-based processing suited to automation), 1 Decision activity (judgment-and-authority gates that stay human by design), and 1 Knowledge activity (judgment, synthesis, and interpretation-driven work). No Exception-pattern activity exists within this value stream.</w:t>
      </w:r>
    </w:p>
    <w:p>
      <w:pPr>
        <w:spacing w:after="200"/>
      </w:pPr>
      <w:r>
        <w:rPr>
          <w:color w:val="444444"/>
          <w:sz w:val="18"/>
          <w:szCs w:val="18"/>
        </w:rPr>
        <w:t xml:space="preserve">At M3 (HITL Design Intent), the value stream's aggregate human-involvement ratio is 48%, down from a 70% undesigned baseline — a 22-point AI convergence opportunity.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2008"/>
        <w:gridCol w:w="2008"/>
        <w:gridCol w:w="2008"/>
        <w:gridCol w:w="2008"/>
      </w:tblGrid>
      <w:tr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L3 PROCESSES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3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L4 ACTIVITIES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6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M1 BASELINE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70%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M3 DESIGN INTENT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48%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Δ M1 → M3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-22%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KPIs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30"/>
        <w:gridCol w:w="2510"/>
      </w:tblGrid>
      <w:tr>
        <w:trPr>
          <w:tblHeader/>
        </w:trPr>
        <w:tc>
          <w:tcPr>
            <w:tcW w:type="pct" w:w="7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Business Impact Metric &amp; Formula (where confirmed)</w:t>
            </w:r>
          </w:p>
        </w:tc>
        <w:tc>
          <w:tcPr>
            <w:tcW w:type="pct" w:w="2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Source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Separation cost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Total cost to perform “redeploy and retire employees” ÷ (Total business entity revenue × 0.001) — per-FTE and per-employee variants follow the same pattern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APQC OSB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Exit sentiment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Weighted average of favorable sentiment responses across exit interviews, by cycle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Compliance / litigation exposure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Exit-related compliance incidents or claims ÷ total exits, measured annually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Knowledge-loss risk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Departures from critical/single-point-of-failure roles ÷ total exits, per cycle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Design Narrative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Move-to-Exit is the first value stream in this framework where a single role — HR Business Partner Manager — is Accountable for every L3 process, a confirmed structural finding rather than under-differentiation: published offboarding-process literature identifies diffused ownership as the primary failure mode for exit workflows, making concentrated single-role accountability the correct shape here. Human judgment stays most anchored in 7.6.1 (Manage Promotion and Demotion Process, Decision-pattern, the smallest Δ M1→M3 in the value stream at -12 points). This value stream also produced the framework's first confirmed specialist-role gap: 7.6.3's Accountable assignment is explicitly partial, since International HR Management is a recognized specialist discipline the current role catalog does not name — distinct in kind from Reward-to-Retain's HR/Finance boundary, which was a split between two existing roles rather than the absence of one.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AI Capability Map</w:t>
      </w:r>
    </w:p>
    <w:p>
      <w:pPr>
        <w:spacing w:after="120"/>
      </w:pPr>
      <w:r>
        <w:rPr>
          <w:color w:val="888888"/>
          <w:sz w:val="14"/>
          <w:szCs w:val="14"/>
        </w:rPr>
        <w:t xml:space="preserve">Pattern-type distribution across this value stream's activity units. H% figures are the pattern type's standard value at each maturity level, applied consistently across all PCF domains.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00"/>
        <w:gridCol w:w="1928"/>
        <w:gridCol w:w="100"/>
        <w:gridCol w:w="1928"/>
        <w:gridCol w:w="100"/>
        <w:gridCol w:w="1928"/>
        <w:gridCol w:w="100"/>
        <w:gridCol w:w="1928"/>
      </w:tblGrid>
      <w:tr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B4F8A"/>
                <w:sz w:val="15"/>
                <w:szCs w:val="15"/>
              </w:rPr>
              <w:t xml:space="preserve">Decision</w:t>
            </w:r>
          </w:p>
          <w:p>
            <w:pPr>
              <w:spacing w:before="30"/>
            </w:pPr>
            <w:r>
              <w:rPr>
                <w:i/>
                <w:iCs/>
                <w:color w:val="1B4F8A"/>
                <w:sz w:val="10"/>
                <w:szCs w:val="10"/>
              </w:rPr>
              <w:t xml:space="preserve">Judgment &amp; Authority — gates that stay human by design</w:t>
            </w:r>
          </w:p>
          <w:p>
            <w:pPr>
              <w:spacing w:before="60"/>
            </w:pPr>
            <w:r>
              <w:rPr>
                <w:b/>
                <w:bCs/>
                <w:color w:val="1B4F8A"/>
                <w:sz w:val="15"/>
                <w:szCs w:val="15"/>
              </w:rPr>
              <w:t xml:space="preserve">1 L4 activities</w:t>
            </w:r>
          </w:p>
          <w:p>
            <w:pPr>
              <w:spacing w:before="40"/>
            </w:pPr>
            <w:r>
              <w:rPr>
                <w:color w:val="1B4F8A"/>
                <w:sz w:val="12"/>
                <w:szCs w:val="12"/>
              </w:rPr>
              <w:t xml:space="preserve">M1 92%  →  M3 80%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534AB7"/>
                <w:sz w:val="15"/>
                <w:szCs w:val="15"/>
              </w:rPr>
              <w:t xml:space="preserve">Knowledge</w:t>
            </w:r>
          </w:p>
          <w:p>
            <w:pPr>
              <w:spacing w:before="30"/>
            </w:pPr>
            <w:r>
              <w:rPr>
                <w:i/>
                <w:iCs/>
                <w:color w:val="534AB7"/>
                <w:sz w:val="10"/>
                <w:szCs w:val="10"/>
              </w:rPr>
              <w:t xml:space="preserve">Synthesis &amp; Interpretation — judgment-driven work</w:t>
            </w:r>
          </w:p>
          <w:p>
            <w:pPr>
              <w:spacing w:before="60"/>
            </w:pPr>
            <w:r>
              <w:rPr>
                <w:b/>
                <w:bCs/>
                <w:color w:val="534AB7"/>
                <w:sz w:val="15"/>
                <w:szCs w:val="15"/>
              </w:rPr>
              <w:t xml:space="preserve">1 L4 activities</w:t>
            </w:r>
          </w:p>
          <w:p>
            <w:pPr>
              <w:spacing w:before="40"/>
            </w:pPr>
            <w:r>
              <w:rPr>
                <w:color w:val="534AB7"/>
                <w:sz w:val="12"/>
                <w:szCs w:val="12"/>
              </w:rPr>
              <w:t xml:space="preserve">M1 85%  →  M3 65%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0369A1"/>
                <w:sz w:val="15"/>
                <w:szCs w:val="15"/>
              </w:rPr>
              <w:t xml:space="preserve">Document</w:t>
            </w:r>
          </w:p>
          <w:p>
            <w:pPr>
              <w:spacing w:before="30"/>
            </w:pPr>
            <w:r>
              <w:rPr>
                <w:i/>
                <w:iCs/>
                <w:color w:val="0369A1"/>
                <w:sz w:val="10"/>
                <w:szCs w:val="10"/>
              </w:rPr>
              <w:t xml:space="preserve">Content Generation — drafting and communication</w:t>
            </w:r>
          </w:p>
          <w:p>
            <w:pPr>
              <w:spacing w:before="60"/>
            </w:pPr>
            <w:r>
              <w:rPr>
                <w:b/>
                <w:bCs/>
                <w:color w:val="0369A1"/>
                <w:sz w:val="15"/>
                <w:szCs w:val="15"/>
              </w:rPr>
              <w:t xml:space="preserve">0 L4 activities</w:t>
            </w:r>
          </w:p>
          <w:p>
            <w:pPr>
              <w:spacing w:before="40"/>
            </w:pPr>
            <w:r>
              <w:rPr>
                <w:i/>
                <w:iCs/>
                <w:color w:val="0369A1"/>
                <w:sz w:val="11"/>
                <w:szCs w:val="11"/>
              </w:rPr>
              <w:t xml:space="preserve">No activities of this pattern in this value stream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66534"/>
                <w:sz w:val="15"/>
                <w:szCs w:val="15"/>
              </w:rPr>
              <w:t xml:space="preserve">Transaction</w:t>
            </w:r>
          </w:p>
          <w:p>
            <w:pPr>
              <w:spacing w:before="30"/>
            </w:pPr>
            <w:r>
              <w:rPr>
                <w:i/>
                <w:iCs/>
                <w:color w:val="166534"/>
                <w:sz w:val="10"/>
                <w:szCs w:val="10"/>
              </w:rPr>
              <w:t xml:space="preserve">Rules-Based Processing — suited to automation</w:t>
            </w:r>
          </w:p>
          <w:p>
            <w:pPr>
              <w:spacing w:before="60"/>
            </w:pPr>
            <w:r>
              <w:rPr>
                <w:b/>
                <w:bCs/>
                <w:color w:val="166534"/>
                <w:sz w:val="15"/>
                <w:szCs w:val="15"/>
              </w:rPr>
              <w:t xml:space="preserve">4 L4 activities</w:t>
            </w:r>
          </w:p>
          <w:p>
            <w:pPr>
              <w:spacing w:before="40"/>
            </w:pPr>
            <w:r>
              <w:rPr>
                <w:color w:val="166534"/>
                <w:sz w:val="12"/>
                <w:szCs w:val="12"/>
              </w:rPr>
              <w:t xml:space="preserve">M1 60%  →  M3 35%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991B1B"/>
                <w:sz w:val="15"/>
                <w:szCs w:val="15"/>
              </w:rPr>
              <w:t xml:space="preserve">Exception</w:t>
            </w:r>
          </w:p>
          <w:p>
            <w:pPr>
              <w:spacing w:before="30"/>
            </w:pPr>
            <w:r>
              <w:rPr>
                <w:i/>
                <w:iCs/>
                <w:color w:val="991B1B"/>
                <w:sz w:val="10"/>
                <w:szCs w:val="10"/>
              </w:rPr>
              <w:t xml:space="preserve">Non-Standard Resolution — human-resolved by nature</w:t>
            </w:r>
          </w:p>
          <w:p>
            <w:pPr>
              <w:spacing w:before="60"/>
            </w:pPr>
            <w:r>
              <w:rPr>
                <w:b/>
                <w:bCs/>
                <w:color w:val="991B1B"/>
                <w:sz w:val="15"/>
                <w:szCs w:val="15"/>
              </w:rPr>
              <w:t xml:space="preserve">0 L4 activities</w:t>
            </w:r>
          </w:p>
          <w:p>
            <w:pPr>
              <w:spacing w:before="40"/>
            </w:pPr>
            <w:r>
              <w:rPr>
                <w:i/>
                <w:iCs/>
                <w:color w:val="991B1B"/>
                <w:sz w:val="11"/>
                <w:szCs w:val="11"/>
              </w:rPr>
              <w:t xml:space="preserve">No activities of this pattern in this value stream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Process Accountability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00"/>
        <w:gridCol w:w="3540"/>
        <w:gridCol w:w="2000"/>
      </w:tblGrid>
      <w:tr>
        <w:trPr>
          <w:tblHeader/>
        </w:trPr>
        <w:tc>
          <w:tcPr>
            <w:tcW w:type="pct" w:w="28.88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Process Accountability</w:t>
            </w:r>
          </w:p>
        </w:tc>
        <w:tc>
          <w:tcPr>
            <w:tcW w:type="pct" w:w="15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Tier</w:t>
            </w:r>
          </w:p>
        </w:tc>
        <w:tc>
          <w:tcPr>
            <w:tcW w:type="pct" w:w="35.26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L3 Processes</w:t>
            </w:r>
          </w:p>
        </w:tc>
        <w:tc>
          <w:tcPr>
            <w:tcW w:type="pct" w:w="19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L4 Activities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HRBP Manager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2"/>
                <w:szCs w:val="12"/>
              </w:rPr>
              <w:t xml:space="preserve">Managerial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7.6.1, 7.6.2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5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HRBP Manager (partial—see gap note)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666666"/>
                <w:sz w:val="12"/>
                <w:szCs w:val="12"/>
              </w:rPr>
              <w:t xml:space="preserve">External Participant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7.6.3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1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Handoff Points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Move-to-Exit is the framework's first value stream with a single Accountable role: HR Business Partner Manager is Accountable for all three L3s and every step in this process flow, consistent with the offboarding-literature finding that diffused ownership is the primary failure mode for exit processes.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The real handoffs in this value stream sit outside HR rather than between HR roles. 7.6.2 Manage Separation triggers coordinated workstreams with Payroll, IT/Security, and Facilities against a shared offboarding checklist — final pay, access removal, asset return — outside HR's accountability scope, and escalates to Legal only for contested or high-risk terminations, not as a routine participant.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7.6.3 Relocate Employees and Manage Assignments is the value stream's confirmed specialist-role gap: HR Business Partner Manager's ownership here is explicitly partial, since International HR Management is a recognized specialist discipline the current role catalog does not name.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Governed Decision Points</w:t>
      </w:r>
    </w:p>
    <w:p>
      <w:pPr>
        <w:spacing w:after="100"/>
      </w:pPr>
      <w:r>
        <w:rPr>
          <w:color w:val="888888"/>
          <w:sz w:val="14"/>
          <w:szCs w:val="14"/>
        </w:rPr>
        <w:t xml:space="preserve">Every Decision/Exception-pattern activity in the value stream, including those embedded inside Mixed-labeled steps.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900"/>
        <w:gridCol w:w="1400"/>
        <w:gridCol w:w="1900"/>
        <w:gridCol w:w="1460"/>
        <w:gridCol w:w="2600"/>
      </w:tblGrid>
      <w:tr>
        <w:trPr>
          <w:tblHeader/>
        </w:trPr>
        <w:tc>
          <w:tcPr>
            <w:tcW w:type="pct" w:w="7.77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PCF</w:t>
            </w:r>
          </w:p>
        </w:tc>
        <w:tc>
          <w:tcPr>
            <w:tcW w:type="pct" w:w="18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Decision</w:t>
            </w:r>
          </w:p>
        </w:tc>
        <w:tc>
          <w:tcPr>
            <w:tcW w:type="pct" w:w="13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Authority</w:t>
            </w:r>
          </w:p>
        </w:tc>
        <w:tc>
          <w:tcPr>
            <w:tcW w:type="pct" w:w="18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Impact</w:t>
            </w:r>
          </w:p>
        </w:tc>
        <w:tc>
          <w:tcPr>
            <w:tcW w:type="pct" w:w="14.5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Escalates To</w:t>
            </w:r>
          </w:p>
        </w:tc>
        <w:tc>
          <w:tcPr>
            <w:tcW w:type="pct" w:w="25.9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Trigger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7.6.1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Approve an employee promotion or demotion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HRBP Manager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Career/compensation — affects employee title, band, and pay level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VP People &amp; Culture (Executive)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Promotion/demotion involves a significant compensation-band change, a contested or disputed case, or falls outside standard promotion criteria</w:t>
            </w:r>
          </w:p>
        </w:tc>
      </w:tr>
    </w:tbl>
    <w:p>
      <w:pPr>
        <w:spacing w:before="260"/>
      </w:pPr>
      <w:r>
        <w:rPr>
          <w:i/>
          <w:iCs/>
          <w:color w:val="888888"/>
          <w:sz w:val="13"/>
          <w:szCs w:val="13"/>
        </w:rPr>
        <w:t xml:space="preserve">© Timothy P. King &amp; Claude (Anthropic) 2026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3"/>
        <w:szCs w:val="13"/>
      </w:rPr>
      <w:t xml:space="preserve">Page </w:t>
    </w:r>
    <w:r>
      <w:rPr>
        <w:color w:val="888888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3"/>
        <w:szCs w:val="13"/>
      </w:rPr>
      <w:t xml:space="preserve"> of </w:t>
    </w:r>
    <w:r>
      <w:rPr>
        <w:color w:val="888888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</w:pPr>
    <w:r>
      <w:rPr>
        <w:b/>
        <w:bCs/>
        <w:color w:val="1B4F8A"/>
        <w:sz w:val="13"/>
        <w:szCs w:val="13"/>
      </w:rPr>
      <w:t xml:space="preserve">The Human-AI Partnership Framework</w:t>
    </w:r>
  </w:p>
  <w:p>
    <w:r>
      <w:rPr>
        <w:i/>
        <w:iCs/>
        <w:color w:val="888888"/>
        <w:sz w:val="13"/>
        <w:szCs w:val="13"/>
      </w:rPr>
      <w:t xml:space="preserve">PCF 7.6 — Move-to-Exit — Value Stream Profile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2026-08-09T12:14:52.194Z</dcterms:created>
  <dcterms:modified xsi:type="dcterms:W3CDTF">2026-08-09T12:14:52.194Z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