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pct" w:w="1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D4F" w:val="clear"/>
            <w:tcMar>
              <w:top w:type="dxa" w:w="22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8"/>
                <w:szCs w:val="28"/>
              </w:rPr>
              <w:t xml:space="preserve">The Human-AI Partnership Framework</w:t>
            </w:r>
          </w:p>
          <w:p>
            <w:pPr>
              <w:jc w:val="center"/>
            </w:pPr>
            <w:r>
              <w:rPr>
                <w:i/>
                <w:iCs/>
                <w:color w:val="9FC2EE"/>
                <w:sz w:val="16"/>
                <w:szCs w:val="16"/>
              </w:rPr>
              <w:t xml:space="preserve">Where human judgment belongs</w:t>
            </w:r>
          </w:p>
        </w:tc>
      </w:tr>
    </w:tbl>
    <w:p>
      <w:pPr>
        <w:spacing w:after="40" w:before="220"/>
      </w:pPr>
      <w:r>
        <w:rPr>
          <w:rFonts w:ascii="Georgia" w:cs="Georgia" w:eastAsia="Georgia" w:hAnsi="Georgia"/>
          <w:b/>
          <w:bCs/>
          <w:color w:val="0D2D4F"/>
          <w:sz w:val="30"/>
          <w:szCs w:val="30"/>
        </w:rPr>
        <w:t xml:space="preserve">Reward-to-Retain</w:t>
      </w:r>
    </w:p>
    <w:p>
      <w:pPr>
        <w:spacing w:after="200"/>
      </w:pPr>
      <w:r>
        <w:rPr>
          <w:i/>
          <w:iCs/>
          <w:color w:val="888888"/>
          <w:sz w:val="17"/>
          <w:szCs w:val="17"/>
        </w:rPr>
        <w:t xml:space="preserve">PCF 7.5 — Reward &amp; Retain Talent — Value Stream Profile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This value stream comprises one APQC PCF process group: 7.5 Reward and Retain Employees — spanning 5 Level 3 processes and 17 Level 4 activities.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At the activity level, this value stream's work breaks down as 9 Knowledge activities (judgment, synthesis, and interpretation-driven work), 7 Transaction activities (rules-based processing suited to automation), and 1 Document activity (content generation). No Exception-pattern activity exists within this value stream.</w:t>
      </w:r>
    </w:p>
    <w:p>
      <w:pPr>
        <w:spacing w:after="200"/>
      </w:pPr>
      <w:r>
        <w:rPr>
          <w:color w:val="444444"/>
          <w:sz w:val="18"/>
          <w:szCs w:val="18"/>
        </w:rPr>
        <w:t xml:space="preserve">At M3 (HITL Design Intent), the value stream's aggregate human-involvement ratio is 51%, down from a 74% undesigned baseline — a 23-point AI convergence opportunity.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8"/>
        <w:gridCol w:w="2008"/>
        <w:gridCol w:w="2008"/>
        <w:gridCol w:w="2008"/>
        <w:gridCol w:w="2008"/>
      </w:tblGrid>
      <w:tr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L3 PROCESSES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5</w:t>
            </w:r>
          </w:p>
        </w:tc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L4 ACTIVITIES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17</w:t>
            </w:r>
          </w:p>
        </w:tc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M1 BASELINE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74%</w:t>
            </w:r>
          </w:p>
        </w:tc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M3 DESIGN INTENT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51%</w:t>
            </w:r>
          </w:p>
        </w:tc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Δ M1 → M3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-23%</w:t>
            </w:r>
          </w:p>
        </w:tc>
      </w:tr>
    </w:tbl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KPIs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30"/>
        <w:gridCol w:w="2510"/>
      </w:tblGrid>
      <w:tr>
        <w:trPr>
          <w:tblHeader/>
        </w:trPr>
        <w:tc>
          <w:tcPr>
            <w:tcW w:type="pct" w:w="75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Business Impact Metric &amp; Formula (where confirmed)</w:t>
            </w:r>
          </w:p>
        </w:tc>
        <w:tc>
          <w:tcPr>
            <w:tcW w:type="pct" w:w="25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Source</w:t>
            </w:r>
          </w:p>
        </w:tc>
      </w:tr>
      <w:tr>
        <w:tc>
          <w:tcPr>
            <w:tcW w:type="pct" w:w="7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444444"/>
                <w:sz w:val="15"/>
                <w:szCs w:val="15"/>
              </w:rPr>
              <w:t xml:space="preserve">Regrettable turnover rate</w:t>
            </w:r>
          </w:p>
          <w:p>
            <w:r>
              <w:rPr>
                <w:i/>
                <w:iCs/>
                <w:color w:val="888888"/>
                <w:sz w:val="13"/>
                <w:szCs w:val="13"/>
              </w:rPr>
              <w:t xml:space="preserve">Voluntary exits of high-performing/critical-skill employees ÷ average headcount, measured annually</w:t>
            </w:r>
          </w:p>
        </w:tc>
        <w:tc>
          <w:tcPr>
            <w:tcW w:type="pct" w:w="2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888888"/>
                <w:sz w:val="14"/>
                <w:szCs w:val="14"/>
              </w:rPr>
              <w:t xml:space="preserve">SHRM</w:t>
            </w:r>
          </w:p>
        </w:tc>
      </w:tr>
      <w:tr>
        <w:tc>
          <w:tcPr>
            <w:tcW w:type="pct" w:w="7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444444"/>
                <w:sz w:val="15"/>
                <w:szCs w:val="15"/>
              </w:rPr>
              <w:t xml:space="preserve">Compensation competitiveness</w:t>
            </w:r>
          </w:p>
          <w:p>
            <w:r>
              <w:rPr>
                <w:i/>
                <w:iCs/>
                <w:color w:val="888888"/>
                <w:sz w:val="13"/>
                <w:szCs w:val="13"/>
              </w:rPr>
              <w:t xml:space="preserve">Pay rate ÷ pay range midpoint (compa-ratio), aggregated as average compa-ratio across employees in scope</w:t>
            </w:r>
          </w:p>
        </w:tc>
        <w:tc>
          <w:tcPr>
            <w:tcW w:type="pct" w:w="2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888888"/>
                <w:sz w:val="14"/>
                <w:szCs w:val="14"/>
              </w:rPr>
              <w:t xml:space="preserve">SHRM</w:t>
            </w:r>
          </w:p>
        </w:tc>
      </w:tr>
      <w:tr>
        <w:tc>
          <w:tcPr>
            <w:tcW w:type="pct" w:w="7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444444"/>
                <w:sz w:val="15"/>
                <w:szCs w:val="15"/>
              </w:rPr>
              <w:t xml:space="preserve">Benefits cost trend</w:t>
            </w:r>
          </w:p>
          <w:p>
            <w:r>
              <w:rPr>
                <w:i/>
                <w:iCs/>
                <w:color w:val="888888"/>
                <w:sz w:val="13"/>
                <w:szCs w:val="13"/>
              </w:rPr>
              <w:t xml:space="preserve">Total benefits spend this period ÷ total benefits spend prior period − 1, tracked year-over-year</w:t>
            </w:r>
          </w:p>
        </w:tc>
        <w:tc>
          <w:tcPr>
            <w:tcW w:type="pct" w:w="2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888888"/>
                <w:sz w:val="14"/>
                <w:szCs w:val="14"/>
              </w:rPr>
              <w:t xml:space="preserve">—</w:t>
            </w:r>
          </w:p>
        </w:tc>
      </w:tr>
    </w:tbl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Design Narrative</w:t>
      </w:r>
    </w:p>
    <w:p>
      <w:pPr>
        <w:spacing w:after="160"/>
      </w:pPr>
      <w:r>
        <w:rPr>
          <w:color w:val="444444"/>
          <w:sz w:val="18"/>
          <w:szCs w:val="18"/>
        </w:rPr>
        <w:t xml:space="preserve">Reward-to-Retain has no Decision-pattern activity and no Executive-tier accountability anywhere in this value stream — human judgment here is concentrated in Knowledge-pattern program design and review work (7.5.1's compensation-structure design and recurring plan-review cadence, 7.5.3's work/life balance and family-support program delivery) rather than in formal approval gates. The value stream also introduces its first genuine cross-functional accountability boundary: 7.5.4 Administer Payroll is Accountable to HRIS Analyst but explicitly scoped to HR-owned personnel data, with Finance owning the payroll run itself as an external participant. The steepest AI-absorption opportunity sits in 7.5.5 (Manage/Collect Employee Suggestions and Research, Document-pattern, -32 points), the value stream's only Document-pattern content.</w:t>
      </w:r>
    </w:p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AI Capability Map</w:t>
      </w:r>
    </w:p>
    <w:p>
      <w:pPr>
        <w:spacing w:after="120"/>
      </w:pPr>
      <w:r>
        <w:rPr>
          <w:color w:val="888888"/>
          <w:sz w:val="14"/>
          <w:szCs w:val="14"/>
        </w:rPr>
        <w:t xml:space="preserve">Pattern-type distribution across this value stream's activity units. H% figures are the pattern type's standard value at each maturity level, applied consistently across all PCF domains.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00"/>
        <w:gridCol w:w="1928"/>
        <w:gridCol w:w="100"/>
        <w:gridCol w:w="1928"/>
        <w:gridCol w:w="100"/>
        <w:gridCol w:w="1928"/>
        <w:gridCol w:w="100"/>
        <w:gridCol w:w="1928"/>
      </w:tblGrid>
      <w:tr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1B4F8A"/>
                <w:sz w:val="15"/>
                <w:szCs w:val="15"/>
              </w:rPr>
              <w:t xml:space="preserve">Decision</w:t>
            </w:r>
          </w:p>
          <w:p>
            <w:pPr>
              <w:spacing w:before="30"/>
            </w:pPr>
            <w:r>
              <w:rPr>
                <w:i/>
                <w:iCs/>
                <w:color w:val="1B4F8A"/>
                <w:sz w:val="10"/>
                <w:szCs w:val="10"/>
              </w:rPr>
              <w:t xml:space="preserve">Judgment &amp; Authority — gates that stay human by design</w:t>
            </w:r>
          </w:p>
          <w:p>
            <w:pPr>
              <w:spacing w:before="60"/>
            </w:pPr>
            <w:r>
              <w:rPr>
                <w:b/>
                <w:bCs/>
                <w:color w:val="1B4F8A"/>
                <w:sz w:val="15"/>
                <w:szCs w:val="15"/>
              </w:rPr>
              <w:t xml:space="preserve">0 L4 activities</w:t>
            </w:r>
          </w:p>
          <w:p>
            <w:pPr>
              <w:spacing w:before="40"/>
            </w:pPr>
            <w:r>
              <w:rPr>
                <w:i/>
                <w:iCs/>
                <w:color w:val="1B4F8A"/>
                <w:sz w:val="11"/>
                <w:szCs w:val="11"/>
              </w:rPr>
              <w:t xml:space="preserve">No activities of this pattern in this value stream</w:t>
            </w:r>
          </w:p>
        </w:tc>
        <w:tc>
          <w:tcPr>
            <w:tcW w:type="pct" w:w="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0FE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534AB7"/>
                <w:sz w:val="15"/>
                <w:szCs w:val="15"/>
              </w:rPr>
              <w:t xml:space="preserve">Knowledge</w:t>
            </w:r>
          </w:p>
          <w:p>
            <w:pPr>
              <w:spacing w:before="30"/>
            </w:pPr>
            <w:r>
              <w:rPr>
                <w:i/>
                <w:iCs/>
                <w:color w:val="534AB7"/>
                <w:sz w:val="10"/>
                <w:szCs w:val="10"/>
              </w:rPr>
              <w:t xml:space="preserve">Synthesis &amp; Interpretation — judgment-driven work</w:t>
            </w:r>
          </w:p>
          <w:p>
            <w:pPr>
              <w:spacing w:before="60"/>
            </w:pPr>
            <w:r>
              <w:rPr>
                <w:b/>
                <w:bCs/>
                <w:color w:val="534AB7"/>
                <w:sz w:val="15"/>
                <w:szCs w:val="15"/>
              </w:rPr>
              <w:t xml:space="preserve">9 L4 activities</w:t>
            </w:r>
          </w:p>
          <w:p>
            <w:pPr>
              <w:spacing w:before="40"/>
            </w:pPr>
            <w:r>
              <w:rPr>
                <w:color w:val="534AB7"/>
                <w:sz w:val="12"/>
                <w:szCs w:val="12"/>
              </w:rPr>
              <w:t xml:space="preserve">M1 85%  →  M3 65%</w:t>
            </w:r>
          </w:p>
        </w:tc>
        <w:tc>
          <w:tcPr>
            <w:tcW w:type="pct" w:w="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E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0369A1"/>
                <w:sz w:val="15"/>
                <w:szCs w:val="15"/>
              </w:rPr>
              <w:t xml:space="preserve">Document</w:t>
            </w:r>
          </w:p>
          <w:p>
            <w:pPr>
              <w:spacing w:before="30"/>
            </w:pPr>
            <w:r>
              <w:rPr>
                <w:i/>
                <w:iCs/>
                <w:color w:val="0369A1"/>
                <w:sz w:val="10"/>
                <w:szCs w:val="10"/>
              </w:rPr>
              <w:t xml:space="preserve">Content Generation — drafting and communication</w:t>
            </w:r>
          </w:p>
          <w:p>
            <w:pPr>
              <w:spacing w:before="60"/>
            </w:pPr>
            <w:r>
              <w:rPr>
                <w:b/>
                <w:bCs/>
                <w:color w:val="0369A1"/>
                <w:sz w:val="15"/>
                <w:szCs w:val="15"/>
              </w:rPr>
              <w:t xml:space="preserve">1 L4 activities</w:t>
            </w:r>
          </w:p>
          <w:p>
            <w:pPr>
              <w:spacing w:before="40"/>
            </w:pPr>
            <w:r>
              <w:rPr>
                <w:color w:val="0369A1"/>
                <w:sz w:val="12"/>
                <w:szCs w:val="12"/>
              </w:rPr>
              <w:t xml:space="preserve">M1 72%  →  M3 40%</w:t>
            </w:r>
          </w:p>
        </w:tc>
        <w:tc>
          <w:tcPr>
            <w:tcW w:type="pct" w:w="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CFCE7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166534"/>
                <w:sz w:val="15"/>
                <w:szCs w:val="15"/>
              </w:rPr>
              <w:t xml:space="preserve">Transaction</w:t>
            </w:r>
          </w:p>
          <w:p>
            <w:pPr>
              <w:spacing w:before="30"/>
            </w:pPr>
            <w:r>
              <w:rPr>
                <w:i/>
                <w:iCs/>
                <w:color w:val="166534"/>
                <w:sz w:val="10"/>
                <w:szCs w:val="10"/>
              </w:rPr>
              <w:t xml:space="preserve">Rules-Based Processing — suited to automation</w:t>
            </w:r>
          </w:p>
          <w:p>
            <w:pPr>
              <w:spacing w:before="60"/>
            </w:pPr>
            <w:r>
              <w:rPr>
                <w:b/>
                <w:bCs/>
                <w:color w:val="166534"/>
                <w:sz w:val="15"/>
                <w:szCs w:val="15"/>
              </w:rPr>
              <w:t xml:space="preserve">7 L4 activities</w:t>
            </w:r>
          </w:p>
          <w:p>
            <w:pPr>
              <w:spacing w:before="40"/>
            </w:pPr>
            <w:r>
              <w:rPr>
                <w:color w:val="166534"/>
                <w:sz w:val="12"/>
                <w:szCs w:val="12"/>
              </w:rPr>
              <w:t xml:space="preserve">M1 60%  →  M3 35%</w:t>
            </w:r>
          </w:p>
        </w:tc>
        <w:tc>
          <w:tcPr>
            <w:tcW w:type="pct" w:w="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E2E2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991B1B"/>
                <w:sz w:val="15"/>
                <w:szCs w:val="15"/>
              </w:rPr>
              <w:t xml:space="preserve">Exception</w:t>
            </w:r>
          </w:p>
          <w:p>
            <w:pPr>
              <w:spacing w:before="30"/>
            </w:pPr>
            <w:r>
              <w:rPr>
                <w:i/>
                <w:iCs/>
                <w:color w:val="991B1B"/>
                <w:sz w:val="10"/>
                <w:szCs w:val="10"/>
              </w:rPr>
              <w:t xml:space="preserve">Non-Standard Resolution — human-resolved by nature</w:t>
            </w:r>
          </w:p>
          <w:p>
            <w:pPr>
              <w:spacing w:before="60"/>
            </w:pPr>
            <w:r>
              <w:rPr>
                <w:b/>
                <w:bCs/>
                <w:color w:val="991B1B"/>
                <w:sz w:val="15"/>
                <w:szCs w:val="15"/>
              </w:rPr>
              <w:t xml:space="preserve">0 L4 activities</w:t>
            </w:r>
          </w:p>
          <w:p>
            <w:pPr>
              <w:spacing w:before="40"/>
            </w:pPr>
            <w:r>
              <w:rPr>
                <w:i/>
                <w:iCs/>
                <w:color w:val="991B1B"/>
                <w:sz w:val="11"/>
                <w:szCs w:val="11"/>
              </w:rPr>
              <w:t xml:space="preserve">No activities of this pattern in this value stream</w:t>
            </w:r>
          </w:p>
        </w:tc>
      </w:tr>
    </w:tbl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Process Accountability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600"/>
        <w:gridCol w:w="3540"/>
        <w:gridCol w:w="2000"/>
      </w:tblGrid>
      <w:tr>
        <w:trPr>
          <w:tblHeader/>
        </w:trPr>
        <w:tc>
          <w:tcPr>
            <w:tcW w:type="pct" w:w="28.88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Process Accountability</w:t>
            </w:r>
          </w:p>
        </w:tc>
        <w:tc>
          <w:tcPr>
            <w:tcW w:type="pct" w:w="15.94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Tier</w:t>
            </w:r>
          </w:p>
        </w:tc>
        <w:tc>
          <w:tcPr>
            <w:tcW w:type="pct" w:w="35.26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L3 Processes</w:t>
            </w:r>
          </w:p>
        </w:tc>
        <w:tc>
          <w:tcPr>
            <w:tcW w:type="pct" w:w="19.92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L4 Activities</w:t>
            </w:r>
          </w:p>
        </w:tc>
      </w:tr>
      <w:tr>
        <w:tc>
          <w:tcPr>
            <w:tcW w:type="pct" w:w="28.88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5"/>
                <w:szCs w:val="15"/>
              </w:rPr>
              <w:t xml:space="preserve">Compensation &amp; Benefits Manager</w:t>
            </w:r>
          </w:p>
        </w:tc>
        <w:tc>
          <w:tcPr>
            <w:tcW w:type="pct" w:w="15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2"/>
                <w:szCs w:val="12"/>
              </w:rPr>
              <w:t xml:space="preserve">Managerial</w:t>
            </w:r>
          </w:p>
        </w:tc>
        <w:tc>
          <w:tcPr>
            <w:tcW w:type="pct" w:w="35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666666"/>
                <w:sz w:val="13"/>
                <w:szCs w:val="13"/>
              </w:rPr>
              <w:t xml:space="preserve">7.5.1</w:t>
            </w:r>
          </w:p>
        </w:tc>
        <w:tc>
          <w:tcPr>
            <w:tcW w:type="pct" w:w="19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color w:val="444444"/>
                <w:sz w:val="15"/>
                <w:szCs w:val="15"/>
              </w:rPr>
              <w:t xml:space="preserve">9</w:t>
            </w:r>
          </w:p>
        </w:tc>
      </w:tr>
      <w:tr>
        <w:tc>
          <w:tcPr>
            <w:tcW w:type="pct" w:w="28.88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5"/>
                <w:szCs w:val="15"/>
              </w:rPr>
              <w:t xml:space="preserve">Compensation Analyst</w:t>
            </w:r>
          </w:p>
        </w:tc>
        <w:tc>
          <w:tcPr>
            <w:tcW w:type="pct" w:w="15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2"/>
                <w:szCs w:val="12"/>
              </w:rPr>
              <w:t xml:space="preserve">Operational</w:t>
            </w:r>
          </w:p>
        </w:tc>
        <w:tc>
          <w:tcPr>
            <w:tcW w:type="pct" w:w="35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666666"/>
                <w:sz w:val="13"/>
                <w:szCs w:val="13"/>
              </w:rPr>
              <w:t xml:space="preserve">7.5.2</w:t>
            </w:r>
          </w:p>
        </w:tc>
        <w:tc>
          <w:tcPr>
            <w:tcW w:type="pct" w:w="19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color w:val="444444"/>
                <w:sz w:val="15"/>
                <w:szCs w:val="15"/>
              </w:rPr>
              <w:t xml:space="preserve">4</w:t>
            </w:r>
          </w:p>
        </w:tc>
      </w:tr>
      <w:tr>
        <w:tc>
          <w:tcPr>
            <w:tcW w:type="pct" w:w="28.88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5"/>
                <w:szCs w:val="15"/>
              </w:rPr>
              <w:t xml:space="preserve">HR Generalist</w:t>
            </w:r>
          </w:p>
        </w:tc>
        <w:tc>
          <w:tcPr>
            <w:tcW w:type="pct" w:w="15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2"/>
                <w:szCs w:val="12"/>
              </w:rPr>
              <w:t xml:space="preserve">Operational</w:t>
            </w:r>
          </w:p>
        </w:tc>
        <w:tc>
          <w:tcPr>
            <w:tcW w:type="pct" w:w="35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666666"/>
                <w:sz w:val="13"/>
                <w:szCs w:val="13"/>
              </w:rPr>
              <w:t xml:space="preserve">7.5.3, 7.5.5</w:t>
            </w:r>
          </w:p>
        </w:tc>
        <w:tc>
          <w:tcPr>
            <w:tcW w:type="pct" w:w="19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color w:val="444444"/>
                <w:sz w:val="15"/>
                <w:szCs w:val="15"/>
              </w:rPr>
              <w:t xml:space="preserve">3</w:t>
            </w:r>
          </w:p>
        </w:tc>
      </w:tr>
      <w:tr>
        <w:tc>
          <w:tcPr>
            <w:tcW w:type="pct" w:w="28.88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5"/>
                <w:szCs w:val="15"/>
              </w:rPr>
              <w:t xml:space="preserve">HRIS Analyst (HR-owned scope)</w:t>
            </w:r>
          </w:p>
        </w:tc>
        <w:tc>
          <w:tcPr>
            <w:tcW w:type="pct" w:w="15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666666"/>
                <w:sz w:val="12"/>
                <w:szCs w:val="12"/>
              </w:rPr>
              <w:t xml:space="preserve">External Participant</w:t>
            </w:r>
          </w:p>
        </w:tc>
        <w:tc>
          <w:tcPr>
            <w:tcW w:type="pct" w:w="35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666666"/>
                <w:sz w:val="13"/>
                <w:szCs w:val="13"/>
              </w:rPr>
              <w:t xml:space="preserve">7.5.4</w:t>
            </w:r>
          </w:p>
        </w:tc>
        <w:tc>
          <w:tcPr>
            <w:tcW w:type="pct" w:w="19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color w:val="444444"/>
                <w:sz w:val="15"/>
                <w:szCs w:val="15"/>
              </w:rPr>
              <w:t xml:space="preserve">1</w:t>
            </w:r>
          </w:p>
        </w:tc>
      </w:tr>
    </w:tbl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Handoff Points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The value stream opens with Compensation &amp; Benefits Manager (7.5.1), who owns the largest single L3 in Reward-to-Retain — compensation structure design, administration, and the recurring review cadence all sit in one lane.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7.5.2 Manage and Administer Benefits hands off to Compensation Analyst for fully operational, Transaction-pattern execution — enrollment, claims processing, and reconciliation — with Compensation &amp; Benefits Manager retained as Consulted.</w:t>
      </w:r>
    </w:p>
    <w:p>
      <w:pPr>
        <w:spacing w:after="160"/>
      </w:pPr>
      <w:r>
        <w:rPr>
          <w:color w:val="444444"/>
          <w:sz w:val="18"/>
          <w:szCs w:val="18"/>
        </w:rPr>
        <w:t xml:space="preserve">HR Generalist owns two separate pieces of the value stream — employee assistance and retention program delivery (7.5.3) and employee suggestion/research program administration (7.5.5). HRIS Analyst's single step (7.5.4 Administer Payroll) marks the value stream's only genuine cross-functional boundary: HR's accountability there is explicitly scoped to personnel data, with Finance owning the payroll run and payroll accounting outside this process flow entirely.</w:t>
      </w:r>
    </w:p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Governed Decision Points</w:t>
      </w:r>
    </w:p>
    <w:p>
      <w:r>
        <w:rPr>
          <w:i/>
          <w:iCs/>
          <w:color w:val="888888"/>
          <w:sz w:val="14"/>
          <w:szCs w:val="14"/>
        </w:rPr>
        <w:t xml:space="preserve">No Decision- or Exception-pattern activity in this value stream — every step here is Knowledge, Document, Transaction, or Mixed without an embedded Decision/Exception component.</w:t>
      </w:r>
    </w:p>
    <w:p>
      <w:pPr>
        <w:spacing w:before="260"/>
      </w:pPr>
      <w:r>
        <w:rPr>
          <w:i/>
          <w:iCs/>
          <w:color w:val="888888"/>
          <w:sz w:val="13"/>
          <w:szCs w:val="13"/>
        </w:rPr>
        <w:t xml:space="preserve">© Timothy P. King &amp; Claude (Anthropic) 2026</w:t>
      </w:r>
    </w:p>
    <w:sectPr>
      <w:headerReference w:type="default" r:id="rId7"/>
      <w:footerReference w:type="default" r:id="rId8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3"/>
        <w:szCs w:val="13"/>
      </w:rPr>
      <w:t xml:space="preserve">Page </w:t>
    </w:r>
    <w:r>
      <w:rPr>
        <w:color w:val="888888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3"/>
        <w:szCs w:val="13"/>
      </w:rPr>
      <w:t xml:space="preserve"> of </w:t>
    </w:r>
    <w:r>
      <w:rPr>
        <w:color w:val="888888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20"/>
    </w:pPr>
    <w:r>
      <w:rPr>
        <w:b/>
        <w:bCs/>
        <w:color w:val="1B4F8A"/>
        <w:sz w:val="13"/>
        <w:szCs w:val="13"/>
      </w:rPr>
      <w:t xml:space="preserve">The Human-AI Partnership Framework</w:t>
    </w:r>
  </w:p>
  <w:p>
    <w:r>
      <w:rPr>
        <w:i/>
        <w:iCs/>
        <w:color w:val="888888"/>
        <w:sz w:val="13"/>
        <w:szCs w:val="13"/>
      </w:rPr>
      <w:t xml:space="preserve">PCF 7.5 — Reward-to-Retain — Value Stream Profile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2026-08-09T12:14:52.004Z</dcterms:created>
  <dcterms:modified xsi:type="dcterms:W3CDTF">2026-08-09T12:14:52.004Z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