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40"/>
      </w:tblGrid>
      <w:tr>
        <w:tc>
          <w:tcPr>
            <w:tcW w:type="pct" w:w="100%"/>
            <w:tcBorders>
              <w:top w:val="none" w:color="FFFFFF" w:sz="0"/>
              <w:left w:val="none" w:color="FFFFFF" w:sz="0"/>
              <w:bottom w:val="none" w:color="FFFFFF" w:sz="0"/>
              <w:right w:val="none" w:color="FFFFFF" w:sz="0"/>
            </w:tcBorders>
            <w:shd w:fill="0D2D4F" w:val="clear"/>
            <w:tcMar>
              <w:top w:type="dxa" w:w="220"/>
              <w:left w:type="dxa" w:w="200"/>
              <w:bottom w:type="dxa" w:w="200"/>
              <w:right w:type="dxa" w:w="200"/>
            </w:tcMar>
          </w:tcPr>
          <w:p>
            <w:pPr>
              <w:spacing w:after="60"/>
              <w:jc w:val="center"/>
            </w:pPr>
            <w:r>
              <w:rPr>
                <w:rFonts w:ascii="Georgia" w:cs="Georgia" w:eastAsia="Georgia" w:hAnsi="Georgia"/>
                <w:b/>
                <w:bCs/>
                <w:color w:val="FFFFFF"/>
                <w:sz w:val="28"/>
                <w:szCs w:val="28"/>
              </w:rPr>
              <w:t xml:space="preserve">The Human-AI Partnership Framework</w:t>
            </w:r>
          </w:p>
          <w:p>
            <w:pPr>
              <w:jc w:val="center"/>
            </w:pPr>
            <w:r>
              <w:rPr>
                <w:i/>
                <w:iCs/>
                <w:color w:val="9FC2EE"/>
                <w:sz w:val="16"/>
                <w:szCs w:val="16"/>
              </w:rPr>
              <w:t xml:space="preserve">Where human judgment belongs</w:t>
            </w:r>
          </w:p>
        </w:tc>
      </w:tr>
    </w:tbl>
    <w:p>
      <w:pPr>
        <w:spacing w:after="40" w:before="220"/>
      </w:pPr>
      <w:r>
        <w:rPr>
          <w:rFonts w:ascii="Georgia" w:cs="Georgia" w:eastAsia="Georgia" w:hAnsi="Georgia"/>
          <w:b/>
          <w:bCs/>
          <w:color w:val="0D2D4F"/>
          <w:sz w:val="30"/>
          <w:szCs w:val="30"/>
        </w:rPr>
        <w:t xml:space="preserve">Move-to-Exit</w:t>
      </w:r>
    </w:p>
    <w:p>
      <w:pPr>
        <w:spacing w:after="200"/>
      </w:pPr>
      <w:r>
        <w:rPr>
          <w:i/>
          <w:iCs/>
          <w:color w:val="888888"/>
          <w:sz w:val="17"/>
          <w:szCs w:val="17"/>
        </w:rPr>
        <w:t xml:space="preserve">PCF 7.6 — Transition Talent — RACI Assignment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46"/>
        <w:gridCol w:w="3347"/>
        <w:gridCol w:w="3347"/>
      </w:tblGrid>
      <w:tr>
        <w:tc>
          <w:tcPr>
            <w:tcW w:type="pct" w:w="33.33%"/>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L3 PROCESSES</w:t>
            </w:r>
          </w:p>
          <w:p>
            <w:r>
              <w:rPr>
                <w:b/>
                <w:bCs/>
                <w:color w:val="1B4F8A"/>
                <w:sz w:val="22"/>
                <w:szCs w:val="22"/>
              </w:rPr>
              <w:t xml:space="preserve">3</w:t>
            </w:r>
          </w:p>
        </w:tc>
        <w:tc>
          <w:tcPr>
            <w:tcW w:type="pct" w:w="33.34%"/>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L4 ACTIVITIES</w:t>
            </w:r>
          </w:p>
          <w:p>
            <w:r>
              <w:rPr>
                <w:b/>
                <w:bCs/>
                <w:color w:val="1B4F8A"/>
                <w:sz w:val="22"/>
                <w:szCs w:val="22"/>
              </w:rPr>
              <w:t xml:space="preserve">6</w:t>
            </w:r>
          </w:p>
        </w:tc>
        <w:tc>
          <w:tcPr>
            <w:tcW w:type="pct" w:w="33.34%"/>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ROLES INVOLVED</w:t>
            </w:r>
          </w:p>
          <w:p>
            <w:r>
              <w:rPr>
                <w:b/>
                <w:bCs/>
                <w:color w:val="1B4F8A"/>
                <w:sz w:val="22"/>
                <w:szCs w:val="22"/>
              </w:rPr>
              <w:t xml:space="preserve">4</w:t>
            </w:r>
          </w:p>
        </w:tc>
      </w:tr>
    </w:tbl>
    <w:p>
      <w:pPr>
        <w:spacing w:after="160" w:before="200"/>
      </w:pPr>
      <w:r>
        <w:rPr>
          <w:color w:val="444444"/>
          <w:sz w:val="18"/>
          <w:szCs w:val="18"/>
        </w:rPr>
        <w:t xml:space="preserve">This document reports confirmed R/A/C/I role accountability for the Move-to-Exit value stream (PCF 7.6) — every L4 activity inherits its parent L3's confirmed RACI, since RACI in this framework is assigned at L3 process granularity, grounded directly in real APQC L4 activity text against the Organizational Role Taxonomy.</w:t>
      </w:r>
    </w:p>
    <w:p>
      <w:pPr>
        <w:spacing w:after="40" w:before="100"/>
      </w:pPr>
      <w:r>
        <w:rPr>
          <w:b/>
          <w:bCs/>
          <w:color w:val="0D2D4F"/>
          <w:sz w:val="19"/>
          <w:szCs w:val="19"/>
        </w:rPr>
        <w:t xml:space="preserve">RACI Assignment</w:t>
      </w:r>
    </w:p>
    <w:p>
      <w:pPr>
        <w:spacing w:after="160"/>
      </w:pPr>
      <w:r>
        <w:rPr>
          <w:color w:val="888888"/>
          <w:sz w:val="14"/>
          <w:szCs w:val="14"/>
        </w:rPr>
        <w:t xml:space="preserve">R = Responsible · A = Accountable · C = Consulted · I = Informed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50"/>
        <w:gridCol w:w="3200"/>
        <w:gridCol w:w="1000"/>
        <w:gridCol w:w="1450"/>
        <w:gridCol w:w="1450"/>
        <w:gridCol w:w="1200"/>
        <w:gridCol w:w="990"/>
      </w:tblGrid>
      <w:tr>
        <w:trPr>
          <w:tblHeader/>
        </w:trPr>
        <w:tc>
          <w:tcPr>
            <w:tcW w:type="pct" w:w="7.47%"/>
            <w:shd w:fill="1B4F8A" w:val="clear"/>
            <w:tcMar>
              <w:top w:type="dxa" w:w="60"/>
              <w:left w:type="dxa" w:w="140"/>
              <w:bottom w:type="dxa" w:w="60"/>
              <w:right w:type="dxa" w:w="60"/>
            </w:tcMar>
            <w:vAlign w:val="bottom"/>
          </w:tcPr>
          <w:p>
            <w:pPr>
              <w:jc w:val="left"/>
            </w:pPr>
            <w:r>
              <w:rPr>
                <w:b/>
                <w:bCs/>
                <w:color w:val="FFFFFF"/>
                <w:sz w:val="11"/>
                <w:szCs w:val="11"/>
              </w:rPr>
              <w:t xml:space="preserve">PCF</w:t>
            </w:r>
          </w:p>
        </w:tc>
        <w:tc>
          <w:tcPr>
            <w:tcW w:type="pct" w:w="31.87%"/>
            <w:shd w:fill="1B4F8A" w:val="clear"/>
            <w:tcMar>
              <w:top w:type="dxa" w:w="60"/>
              <w:left w:type="dxa" w:w="140"/>
              <w:bottom w:type="dxa" w:w="60"/>
              <w:right w:type="dxa" w:w="60"/>
            </w:tcMar>
            <w:vAlign w:val="bottom"/>
          </w:tcPr>
          <w:p>
            <w:pPr>
              <w:jc w:val="left"/>
            </w:pPr>
            <w:r>
              <w:rPr>
                <w:b/>
                <w:bCs/>
                <w:color w:val="FFFFFF"/>
                <w:sz w:val="11"/>
                <w:szCs w:val="11"/>
              </w:rPr>
              <w:t xml:space="preserve">L3-Process / L4-Activity</w:t>
            </w:r>
          </w:p>
        </w:tc>
        <w:tc>
          <w:tcPr>
            <w:tcW w:type="pct" w:w="9.96%"/>
            <w:shd w:fill="1B4F8A" w:val="clear"/>
            <w:vAlign w:val="bottom"/>
          </w:tcPr>
          <w:p>
            <w:pPr>
              <w:jc w:val="center"/>
            </w:pPr>
            <w:r>
              <w:rPr>
                <w:b/>
                <w:bCs/>
                <w:color w:val="FFFFFF"/>
                <w:sz w:val="11"/>
                <w:szCs w:val="11"/>
              </w:rPr>
              <w:t xml:space="preserve">Pattern</w:t>
            </w:r>
          </w:p>
        </w:tc>
        <w:tc>
          <w:tcPr>
            <w:tcW w:type="pct" w:w="14.44%"/>
            <w:shd w:fill="1B4F8A" w:val="clear"/>
            <w:tcMar>
              <w:top w:type="dxa" w:w="60"/>
              <w:left w:type="dxa" w:w="140"/>
              <w:bottom w:type="dxa" w:w="60"/>
              <w:right w:type="dxa" w:w="60"/>
            </w:tcMar>
            <w:vAlign w:val="bottom"/>
          </w:tcPr>
          <w:p>
            <w:pPr>
              <w:jc w:val="left"/>
            </w:pPr>
            <w:r>
              <w:rPr>
                <w:b/>
                <w:bCs/>
                <w:color w:val="FFFFFF"/>
                <w:sz w:val="11"/>
                <w:szCs w:val="11"/>
              </w:rPr>
              <w:t xml:space="preserve">R — Responsible</w:t>
            </w:r>
          </w:p>
        </w:tc>
        <w:tc>
          <w:tcPr>
            <w:tcW w:type="pct" w:w="14.44%"/>
            <w:shd w:fill="1B4F8A" w:val="clear"/>
            <w:vAlign w:val="bottom"/>
          </w:tcPr>
          <w:p>
            <w:pPr>
              <w:jc w:val="center"/>
            </w:pPr>
            <w:r>
              <w:rPr>
                <w:b/>
                <w:bCs/>
                <w:color w:val="FFFFFF"/>
                <w:sz w:val="11"/>
                <w:szCs w:val="11"/>
              </w:rPr>
              <w:t xml:space="preserve">★</w:t>
            </w:r>
            <w:r>
              <w:rPr>
                <w:b/>
                <w:bCs/>
                <w:color w:val="FFFFFF"/>
                <w:sz w:val="11"/>
                <w:szCs w:val="11"/>
              </w:rPr>
              <w:br/>
              <w:t xml:space="preserve">A — Accountable</w:t>
            </w:r>
          </w:p>
        </w:tc>
        <w:tc>
          <w:tcPr>
            <w:tcW w:type="pct" w:w="11.95%"/>
            <w:shd w:fill="1B4F8A" w:val="clear"/>
            <w:tcMar>
              <w:top w:type="dxa" w:w="60"/>
              <w:left w:type="dxa" w:w="140"/>
              <w:bottom w:type="dxa" w:w="60"/>
              <w:right w:type="dxa" w:w="60"/>
            </w:tcMar>
            <w:vAlign w:val="bottom"/>
          </w:tcPr>
          <w:p>
            <w:pPr>
              <w:jc w:val="left"/>
            </w:pPr>
            <w:r>
              <w:rPr>
                <w:b/>
                <w:bCs/>
                <w:color w:val="FFFFFF"/>
                <w:sz w:val="11"/>
                <w:szCs w:val="11"/>
              </w:rPr>
              <w:t xml:space="preserve">C — Consulted</w:t>
            </w:r>
          </w:p>
        </w:tc>
        <w:tc>
          <w:tcPr>
            <w:tcW w:type="pct" w:w="9.86%"/>
            <w:shd w:fill="1B4F8A" w:val="clear"/>
            <w:tcMar>
              <w:top w:type="dxa" w:w="60"/>
              <w:left w:type="dxa" w:w="140"/>
              <w:bottom w:type="dxa" w:w="60"/>
              <w:right w:type="dxa" w:w="60"/>
            </w:tcMar>
            <w:vAlign w:val="bottom"/>
          </w:tcPr>
          <w:p>
            <w:pPr>
              <w:jc w:val="left"/>
            </w:pPr>
            <w:r>
              <w:rPr>
                <w:b/>
                <w:bCs/>
                <w:color w:val="FFFFFF"/>
                <w:sz w:val="11"/>
                <w:szCs w:val="11"/>
              </w:rPr>
              <w:t xml:space="preserve">I — Informed</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7.6  </w:t>
            </w:r>
            <w:r>
              <w:rPr>
                <w:b/>
                <w:bCs/>
                <w:color w:val="0D2D4F"/>
                <w:sz w:val="14"/>
                <w:szCs w:val="14"/>
              </w:rPr>
              <w:t xml:space="preserve">Redeploy and Retire Employees</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7.6.1</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Manage promotion and demotion process</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00%"/>
                  <w:tcBorders>
                    <w:top w:val="none" w:color="FFFFFF" w:sz="0"/>
                    <w:left w:val="none" w:color="FFFFFF" w:sz="0"/>
                    <w:bottom w:val="none" w:color="FFFFFF" w:sz="0"/>
                    <w:right w:val="none" w:color="FFFFFF" w:sz="0"/>
                  </w:tcBorders>
                  <w:shd w:fill="7B9FD1"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iCs/>
                <w:color w:val="888888"/>
                <w:sz w:val="14"/>
                <w:szCs w:val="14"/>
              </w:rPr>
              <w:t xml:space="preserve">HRBP Manager</w:t>
            </w:r>
          </w:p>
          <w:p>
            <w:r>
              <w:rPr>
                <w:i/>
                <w:iCs/>
                <w:color w:val="999999"/>
                <w:sz w:val="11"/>
                <w:szCs w:val="11"/>
              </w:rPr>
              <w:t xml:space="preserve">from Accountable</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Compensation &amp; Benefits Manager</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7.6.2</w:t>
            </w:r>
          </w:p>
        </w:tc>
        <w:tc>
          <w:tcPr>
            <w:tcW w:type="pct" w:w="31.8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separation</w:t>
            </w:r>
          </w:p>
        </w:tc>
        <w:tc>
          <w:tcPr>
            <w:tcW w:type="pct" w:w="9.96%"/>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25%"/>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75%"/>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HR Generalist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1.9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Compensation &amp; Benefits Manager</w:t>
            </w:r>
          </w:p>
        </w:tc>
        <w:tc>
          <w:tcPr>
            <w:tcW w:type="pct" w:w="9.86%"/>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Legal*</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7.6.2.1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retirement</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 Generalist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Compensation &amp; Benefits Manager</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Legal*</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7.6.2.2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leave of absence</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 Generalist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Compensation &amp; Benefits Manager</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Legal*</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7.6.2.3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offboarding</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HR Generalist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Compensation &amp; Benefits Manager</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Legal*</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7.6.2.4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and implement employee outplacement</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HR Generalist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HRBP Manager</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Compensation &amp; Benefits Manager</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Legal*</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7.6.3</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Relocate employees and manage assignments</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10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logistics</w:t>
            </w:r>
          </w:p>
        </w:tc>
        <w:tc>
          <w:tcPr>
            <w:tcW w:type="pct" w:w="14.44%"/>
            <w:tcBorders>
              <w:top w:val="single" w:color="7AAED6" w:sz="2"/>
              <w:left w:val="single" w:color="7AAED6" w:sz="2"/>
              <w:bottom w:val="single" w:color="7AAED6" w:sz="2"/>
              <w:right w:val="single" w:color="7AAED6" w:sz="2"/>
            </w:tcBorders>
            <w:shd w:fill="F5F5F5" w:val="clear"/>
          </w:tcPr>
          <w:p>
            <w:pPr>
              <w:spacing w:after="10"/>
            </w:pPr>
            <w:r>
              <w:rPr>
                <w:i w:val="false"/>
                <w:iCs w:val="false"/>
                <w:color w:val="444444"/>
                <w:sz w:val="14"/>
                <w:szCs w:val="14"/>
              </w:rPr>
              <w:t xml:space="preserve">HRBP Manager</w:t>
            </w:r>
          </w:p>
          <w:p>
            <w:pPr>
              <w:spacing w:after="30"/>
            </w:pPr>
            <w:r>
              <w:rPr>
                <w:i/>
                <w:iCs/>
                <w:color w:val="888888"/>
                <w:sz w:val="12"/>
                <w:szCs w:val="12"/>
              </w:rPr>
              <w:t xml:space="preserve">partial—see gap note</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7.6.3.1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expatriates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10"/>
            </w:pPr>
            <w:r>
              <w:rPr>
                <w:i w:val="false"/>
                <w:iCs w:val="false"/>
                <w:color w:val="444444"/>
                <w:sz w:val="14"/>
                <w:szCs w:val="14"/>
              </w:rPr>
              <w:t xml:space="preserve">HR Generalist</w:t>
            </w:r>
          </w:p>
          <w:p>
            <w:pPr>
              <w:spacing w:after="30"/>
            </w:pPr>
            <w:r>
              <w:rPr>
                <w:i/>
                <w:iCs/>
                <w:color w:val="888888"/>
                <w:sz w:val="12"/>
                <w:szCs w:val="12"/>
              </w:rPr>
              <w:t xml:space="preserve">logistics</w:t>
            </w:r>
          </w:p>
        </w:tc>
        <w:tc>
          <w:tcPr>
            <w:tcW w:type="pct" w:w="14.44%"/>
            <w:tcBorders>
              <w:top w:val="single" w:color="7AAED6" w:sz="2"/>
              <w:left w:val="single" w:color="7AAED6" w:sz="2"/>
              <w:bottom w:val="single" w:color="7AAED6" w:sz="2"/>
              <w:right w:val="single" w:color="7AAED6" w:sz="2"/>
            </w:tcBorders>
            <w:shd w:fill="F5F5F5" w:val="clear"/>
          </w:tcPr>
          <w:p>
            <w:pPr>
              <w:spacing w:after="10"/>
            </w:pPr>
            <w:r>
              <w:rPr>
                <w:i w:val="false"/>
                <w:iCs w:val="false"/>
                <w:color w:val="444444"/>
                <w:sz w:val="14"/>
                <w:szCs w:val="14"/>
              </w:rPr>
              <w:t xml:space="preserve">HRBP Manager</w:t>
            </w:r>
          </w:p>
          <w:p>
            <w:pPr>
              <w:spacing w:after="30"/>
            </w:pPr>
            <w:r>
              <w:rPr>
                <w:i/>
                <w:iCs/>
                <w:color w:val="888888"/>
                <w:sz w:val="12"/>
                <w:szCs w:val="12"/>
              </w:rPr>
              <w:t xml:space="preserve">partial—see gap note</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bl>
    <w:p>
      <w:pPr>
        <w:spacing w:after="100" w:before="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600"/>
        <w:gridCol w:w="1800"/>
        <w:gridCol w:w="1600"/>
        <w:gridCol w:w="1940"/>
      </w:tblGrid>
      <w:tr>
        <w:tc>
          <w:tcPr>
            <w:tcW w:type="pct" w:w="14.94%"/>
            <w:tcBorders>
              <w:top w:val="none" w:color="FFFFFF" w:sz="0"/>
              <w:left w:val="none" w:color="FFFFFF" w:sz="0"/>
              <w:bottom w:val="none" w:color="FFFFFF" w:sz="0"/>
              <w:right w:val="none" w:color="FFFFFF" w:sz="0"/>
            </w:tcBorders>
          </w:tcPr>
          <w:p>
            <w:r>
              <w:rPr>
                <w:color w:val="1B4F8A"/>
                <w:sz w:val="13"/>
                <w:szCs w:val="13"/>
              </w:rPr>
              <w:t xml:space="preserve">■ </w:t>
            </w:r>
            <w:r>
              <w:rPr>
                <w:color w:val="444444"/>
                <w:sz w:val="13"/>
                <w:szCs w:val="13"/>
              </w:rPr>
              <w:t xml:space="preserve">Decision</w:t>
            </w:r>
          </w:p>
        </w:tc>
        <w:tc>
          <w:tcPr>
            <w:tcW w:type="pct" w:w="15.94%"/>
            <w:tcBorders>
              <w:top w:val="none" w:color="FFFFFF" w:sz="0"/>
              <w:left w:val="none" w:color="FFFFFF" w:sz="0"/>
              <w:bottom w:val="none" w:color="FFFFFF" w:sz="0"/>
              <w:right w:val="none" w:color="FFFFFF" w:sz="0"/>
            </w:tcBorders>
          </w:tcPr>
          <w:p>
            <w:r>
              <w:rPr>
                <w:color w:val="534AB7"/>
                <w:sz w:val="13"/>
                <w:szCs w:val="13"/>
              </w:rPr>
              <w:t xml:space="preserve">■ </w:t>
            </w:r>
            <w:r>
              <w:rPr>
                <w:color w:val="444444"/>
                <w:sz w:val="13"/>
                <w:szCs w:val="13"/>
              </w:rPr>
              <w:t xml:space="preserve">Knowledge</w:t>
            </w:r>
          </w:p>
        </w:tc>
        <w:tc>
          <w:tcPr>
            <w:tcW w:type="pct" w:w="15.94%"/>
            <w:tcBorders>
              <w:top w:val="none" w:color="FFFFFF" w:sz="0"/>
              <w:left w:val="none" w:color="FFFFFF" w:sz="0"/>
              <w:bottom w:val="none" w:color="FFFFFF" w:sz="0"/>
              <w:right w:val="none" w:color="FFFFFF" w:sz="0"/>
            </w:tcBorders>
          </w:tcPr>
          <w:p>
            <w:r>
              <w:rPr>
                <w:color w:val="0369A1"/>
                <w:sz w:val="13"/>
                <w:szCs w:val="13"/>
              </w:rPr>
              <w:t xml:space="preserve">■ </w:t>
            </w:r>
            <w:r>
              <w:rPr>
                <w:color w:val="444444"/>
                <w:sz w:val="13"/>
                <w:szCs w:val="13"/>
              </w:rPr>
              <w:t xml:space="preserve">Document</w:t>
            </w:r>
          </w:p>
        </w:tc>
        <w:tc>
          <w:tcPr>
            <w:tcW w:type="pct" w:w="17.93%"/>
            <w:tcBorders>
              <w:top w:val="none" w:color="FFFFFF" w:sz="0"/>
              <w:left w:val="none" w:color="FFFFFF" w:sz="0"/>
              <w:bottom w:val="none" w:color="FFFFFF" w:sz="0"/>
              <w:right w:val="none" w:color="FFFFFF" w:sz="0"/>
            </w:tcBorders>
          </w:tcPr>
          <w:p>
            <w:r>
              <w:rPr>
                <w:color w:val="166534"/>
                <w:sz w:val="13"/>
                <w:szCs w:val="13"/>
              </w:rPr>
              <w:t xml:space="preserve">■ </w:t>
            </w:r>
            <w:r>
              <w:rPr>
                <w:color w:val="444444"/>
                <w:sz w:val="13"/>
                <w:szCs w:val="13"/>
              </w:rPr>
              <w:t xml:space="preserve">Transaction</w:t>
            </w:r>
          </w:p>
        </w:tc>
        <w:tc>
          <w:tcPr>
            <w:tcW w:type="pct" w:w="15.94%"/>
            <w:tcBorders>
              <w:top w:val="none" w:color="FFFFFF" w:sz="0"/>
              <w:left w:val="none" w:color="FFFFFF" w:sz="0"/>
              <w:bottom w:val="none" w:color="FFFFFF" w:sz="0"/>
              <w:right w:val="none" w:color="FFFFFF" w:sz="0"/>
            </w:tcBorders>
          </w:tcPr>
          <w:p>
            <w:r>
              <w:rPr>
                <w:color w:val="991B1B"/>
                <w:sz w:val="13"/>
                <w:szCs w:val="13"/>
              </w:rPr>
              <w:t xml:space="preserve">■ </w:t>
            </w:r>
            <w:r>
              <w:rPr>
                <w:color w:val="444444"/>
                <w:sz w:val="13"/>
                <w:szCs w:val="13"/>
              </w:rPr>
              <w:t xml:space="preserve">Exception</w:t>
            </w:r>
          </w:p>
        </w:tc>
        <w:tc>
          <w:tcPr>
            <w:tcW w:type="pct" w:w="19.32%"/>
            <w:tcBorders>
              <w:top w:val="none" w:color="FFFFFF" w:sz="0"/>
              <w:left w:val="none" w:color="FFFFFF" w:sz="0"/>
              <w:bottom w:val="none" w:color="FFFFFF" w:sz="0"/>
              <w:right w:val="none" w:color="FFFFFF" w:sz="0"/>
            </w:tcBorders>
          </w:tcPr>
          <w:p/>
        </w:tc>
      </w:tr>
    </w:tbl>
    <w:p>
      <w:pPr>
        <w:spacing w:before="100"/>
      </w:pPr>
      <w:r>
        <w:rPr>
          <w:i/>
          <w:iCs/>
          <w:color w:val="888888"/>
          <w:sz w:val="13"/>
          <w:szCs w:val="13"/>
        </w:rPr>
        <w:t xml:space="preserve">★ A = Accountable · RACI grounded in real APQC L4 activity text · 3 confirmed L3 assignments in this value stream · © Timothy P. King 2026 · developed with the assistance of Claude (Anthropic)</w:t>
      </w:r>
    </w:p>
    <w:sectPr>
      <w:headerReference w:type="default" r:id="rId7"/>
      <w:footerReference w:type="default" r:id="rId8"/>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3"/>
        <w:szCs w:val="13"/>
      </w:rPr>
      <w:t xml:space="preserve">Page </w:t>
    </w:r>
    <w:r>
      <w:rPr>
        <w:color w:val="888888"/>
        <w:sz w:val="13"/>
        <w:szCs w:val="13"/>
      </w:rPr>
      <w:fldChar w:fldCharType="begin"/>
      <w:instrText xml:space="preserve">PAGE</w:instrText>
      <w:fldChar w:fldCharType="separate"/>
      <w:fldChar w:fldCharType="end"/>
    </w:r>
    <w:r>
      <w:rPr>
        <w:color w:val="888888"/>
        <w:sz w:val="13"/>
        <w:szCs w:val="13"/>
      </w:rPr>
      <w:t xml:space="preserve"> of </w:t>
    </w:r>
    <w:r>
      <w:rPr>
        <w:color w:val="888888"/>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
    </w:pPr>
    <w:r>
      <w:rPr>
        <w:b/>
        <w:bCs/>
        <w:color w:val="1B4F8A"/>
        <w:sz w:val="13"/>
        <w:szCs w:val="13"/>
      </w:rPr>
      <w:t xml:space="preserve">The Human-AI Partnership Framework</w:t>
    </w:r>
  </w:p>
  <w:p>
    <w:r>
      <w:rPr>
        <w:i/>
        <w:iCs/>
        <w:color w:val="888888"/>
        <w:sz w:val="13"/>
        <w:szCs w:val="13"/>
      </w:rPr>
      <w:t xml:space="preserve">PCF 7.6 — Move-to-Exit — RACI Assignment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2026-08-09T12:34:10.393Z</dcterms:created>
  <dcterms:modified xsi:type="dcterms:W3CDTF">2026-08-09T12:34:10.393Z</dcterms:modified>
</cp:coreProperties>
</file>

<file path=docProps/custom.xml><?xml version="1.0" encoding="utf-8"?>
<Properties xmlns="http://schemas.openxmlformats.org/officeDocument/2006/custom-properties" xmlns:vt="http://schemas.openxmlformats.org/officeDocument/2006/docPropsVTypes"/>
</file>